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sz w:val="28"/>
          <w:szCs w:val="28"/>
        </w:rPr>
      </w:pP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Введение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Глава 1. Теоретические основы прогнозирования цен на недвижимость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.1 Специфика ценообразования на рынке недвижимости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.2 Факторы влияния на стоимость недвижимости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.3 Модели оценки объектов недвижимости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Глава 2. Эконометрическое моделиро</w:t>
      </w:r>
      <w:r>
        <w:rPr>
          <w:noProof/>
          <w:sz w:val="28"/>
          <w:szCs w:val="28"/>
        </w:rPr>
        <w:t>вание цен на недвижимость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.1 Интегрированная модель авторегрессии-скользящего среднего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.2 Многофакторная регрессионная модель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Глава 3. Построение моделей прогнозирования цены на недвижимость в регионах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.1 Построение ARIMA-моделей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.1.1 Модель средней цены Б</w:t>
      </w:r>
      <w:r>
        <w:rPr>
          <w:noProof/>
          <w:sz w:val="28"/>
          <w:szCs w:val="28"/>
        </w:rPr>
        <w:t>елгородской области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.1.2 Модель средней цены Воронежской области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.1.3 Модель средней цены Тульской области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.2 Построение многофакторных регрессионных моделей стоимости жилья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.2.1 Регрессионная модель Белгородской области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.2.2 Регрессионная модель Воронежск</w:t>
      </w:r>
      <w:r>
        <w:rPr>
          <w:noProof/>
          <w:sz w:val="28"/>
          <w:szCs w:val="28"/>
        </w:rPr>
        <w:t>ой области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.2.3 Регрессионная модель Тульской области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.3 Выводы по моделям прогнозирования цен для регионов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Заключение</w:t>
      </w:r>
    </w:p>
    <w:p w:rsidR="00000000" w:rsidRDefault="001378F1">
      <w:pPr>
        <w:tabs>
          <w:tab w:val="left" w:pos="1134"/>
          <w:tab w:val="right" w:leader="dot" w:pos="9345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Список литературы</w:t>
      </w:r>
    </w:p>
    <w:p w:rsidR="00000000" w:rsidRDefault="001378F1">
      <w:pPr>
        <w:rPr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Введение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Улучшение эффективности государственного управления в сфере недвижимости можно достичь за счет надежных оце</w:t>
      </w:r>
      <w:r>
        <w:rPr>
          <w:sz w:val="28"/>
          <w:szCs w:val="28"/>
        </w:rPr>
        <w:t>нок, которые показывают, как настоящее состояние рынка, так и потенциально возможное. Цена объектов недвижимости подвергается воздействию множества факторов, которые работают на разных уровнях глубины исследования: например, факторами могут выступать харак</w:t>
      </w:r>
      <w:r>
        <w:rPr>
          <w:sz w:val="28"/>
          <w:szCs w:val="28"/>
        </w:rPr>
        <w:t>теристики конкретного объекта недвижимости, региональные факторы, которые не связаны с объектом напрямую, но влияют на ситуацию и тенденции на рынке недвижимости.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Немаловажную роль играет оценка недвижимости на уровне регионов, так как в целом рынок в свое</w:t>
      </w:r>
      <w:r>
        <w:rPr>
          <w:sz w:val="28"/>
          <w:szCs w:val="28"/>
        </w:rPr>
        <w:t>й основе носит региональный характер и отражает значительную область территориального управления. В таком разрезе речь может идти о развитии рынка недвижимости с помощью жилищных программ, стимулировании строительной деятельности и инвестиций, развитии дос</w:t>
      </w:r>
      <w:r>
        <w:rPr>
          <w:sz w:val="28"/>
          <w:szCs w:val="28"/>
        </w:rPr>
        <w:t>тупности ипотечного кредитования.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 счет проведения мероприятий в указанных направлениях, государство и региональные институты управления могут успешно воздействовать на рынок недвижимости на региональном уровне. Однако зачастую можно наблюдать недостаточ</w:t>
      </w:r>
      <w:r>
        <w:rPr>
          <w:sz w:val="28"/>
          <w:szCs w:val="28"/>
        </w:rPr>
        <w:t>ную эффективность проводимых программ в связи с недостаточной развитостью аналитики в данной сфере, которая бы учитывала индивидуальные особенности и характеристики регионов. При этом в итоге решающую роль в вопросах планирования, деятельности и развития р</w:t>
      </w:r>
      <w:r>
        <w:rPr>
          <w:sz w:val="28"/>
          <w:szCs w:val="28"/>
        </w:rPr>
        <w:t>ынка недвижимости играет государство.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Ценовая ситуация, которая отражается в средних ценах на первичном и вторичном рынках, является целевым объектом для оценки и прогнозирования в рамках исследования рынка недвижимости. На основе средних цен в регионах пр</w:t>
      </w:r>
      <w:r>
        <w:rPr>
          <w:sz w:val="28"/>
          <w:szCs w:val="28"/>
        </w:rPr>
        <w:t xml:space="preserve">оисходит установление цен на рынке недвижимости на уровне государства в </w:t>
      </w:r>
      <w:r>
        <w:rPr>
          <w:sz w:val="28"/>
          <w:szCs w:val="28"/>
        </w:rPr>
        <w:lastRenderedPageBreak/>
        <w:t>целом. Данные показатели учитываются при прогнозировании рыночной цены недвижимости, которая важна при планировании социальной политики (расчет различных выплат, средств бюджета на стр</w:t>
      </w:r>
      <w:r>
        <w:rPr>
          <w:sz w:val="28"/>
          <w:szCs w:val="28"/>
        </w:rPr>
        <w:t>оительство жилых помещений и т.д.); осуществлении сравнения регионов, что может помочь в устранении различий в развитии регионов; в разработке субъектами рынка недвижимости вспомогательных техник выбора стратегических действий для развития и совершенствова</w:t>
      </w:r>
      <w:r>
        <w:rPr>
          <w:sz w:val="28"/>
          <w:szCs w:val="28"/>
        </w:rPr>
        <w:t>ния жилищной сферы; при расчете налоговых поступлений в бюджеты разных уровней и т.д.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Безусловно, с целью улучшения эффективности проводимых на рынке недвижимости мероприятий возникает также и необходимость в моделях оценки, которые бы использовались при п</w:t>
      </w:r>
      <w:r>
        <w:rPr>
          <w:sz w:val="28"/>
          <w:szCs w:val="28"/>
        </w:rPr>
        <w:t>роведении исследований рынка недвижимости. Тем не менее, в процессе изучения материалов по тематике прогнозирования недвижимости было замечено, что в основном анализу подвергается воздействие различных факторов на цены жилых объектов в рамках отдельных гор</w:t>
      </w:r>
      <w:r>
        <w:rPr>
          <w:sz w:val="28"/>
          <w:szCs w:val="28"/>
        </w:rPr>
        <w:t>одов, в то время как исследований воздействия социально-экономических показателей на уровне регионов практически не проводится.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Вышесказанные аспекты отражают актуальность выбранного направления исследования.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Теоретические основы функционирования рынка нед</w:t>
      </w:r>
      <w:r>
        <w:rPr>
          <w:sz w:val="28"/>
          <w:szCs w:val="28"/>
        </w:rPr>
        <w:t>вижимости, факторы, его формирующие, элементы, структура и направления развития, вопросы управления и регулирования рассматриваются в работах Е.И. Тарасевич, В.А. Горемыкин, А.Н. Асаул, Д.Л. Волков и др.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Методология статистических и эконометрических исслед</w:t>
      </w:r>
      <w:r>
        <w:rPr>
          <w:sz w:val="28"/>
          <w:szCs w:val="28"/>
        </w:rPr>
        <w:t>ований экономических процессов, в том числе и в рамках сферы недвижимости, освещены в работах С.В. Грибовского, С.А. Айвазяна, Т.А. Ратниковой, Т.А. Дуброва и др.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Моделирование и прогнозирование ситуации на региональных рынках </w:t>
      </w:r>
      <w:r>
        <w:rPr>
          <w:sz w:val="28"/>
          <w:szCs w:val="28"/>
        </w:rPr>
        <w:lastRenderedPageBreak/>
        <w:t>недвижимости, рассмотрение ас</w:t>
      </w:r>
      <w:r>
        <w:rPr>
          <w:sz w:val="28"/>
          <w:szCs w:val="28"/>
        </w:rPr>
        <w:t>пектов их функционирования проводилось в работах А.С. Ореховой, Г.М. Стерника, К.Н. Золотухиной, Е.Б. Денисенко, Н.А. Ярушкиной, О.А. Мамаевой и др.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Несмотря на широкий спектр работ, посвященных вопросам развития рынка жилой недвижимости, особое внимание в</w:t>
      </w:r>
      <w:r>
        <w:rPr>
          <w:sz w:val="28"/>
          <w:szCs w:val="28"/>
        </w:rPr>
        <w:t xml:space="preserve"> рамках исследования на основе экономико-математического моделирования уделяется решению отдельных вопросов рассматриваемой проблемы. Вместе с тем, для получения адекватной модели цены недвижимости на региональном уровне необходимо уделять внимание как общ</w:t>
      </w:r>
      <w:r>
        <w:rPr>
          <w:sz w:val="28"/>
          <w:szCs w:val="28"/>
        </w:rPr>
        <w:t>им факторам, воздействующим на рынок, так и субъективным характеристикам регионов.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Существенная социально-экономическая важность стоимостной оценки, исследования и анализа влияния на рынок жилой недвижимости на уровне регионов определяют цель и задачи данн</w:t>
      </w:r>
      <w:r>
        <w:rPr>
          <w:sz w:val="28"/>
          <w:szCs w:val="28"/>
        </w:rPr>
        <w:t>ого исследования.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Целью</w:t>
      </w:r>
      <w:r>
        <w:rPr>
          <w:sz w:val="28"/>
          <w:szCs w:val="28"/>
        </w:rPr>
        <w:t xml:space="preserve"> данного исследования выступает разработка математических моделей для оценки и прогнозирования цены первичной недвижимости на региональном уровне.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достижения данной цели были поставлены следующие </w:t>
      </w:r>
      <w:r>
        <w:rPr>
          <w:b/>
          <w:bCs/>
          <w:i/>
          <w:iCs/>
          <w:sz w:val="28"/>
          <w:szCs w:val="28"/>
        </w:rPr>
        <w:t>задачи</w:t>
      </w:r>
      <w:r>
        <w:rPr>
          <w:sz w:val="28"/>
          <w:szCs w:val="28"/>
        </w:rPr>
        <w:t>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Изучить особенности фун</w:t>
      </w:r>
      <w:r>
        <w:rPr>
          <w:sz w:val="28"/>
          <w:szCs w:val="28"/>
        </w:rPr>
        <w:t>кционирования региональных рынков жилой недвижимости.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>
        <w:rPr>
          <w:sz w:val="28"/>
          <w:szCs w:val="28"/>
        </w:rPr>
        <w:tab/>
        <w:t>Изучить подходы и модели, применяемые для прогнозирования цен на недвижимость.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Выделить значимые факторы, отражающие процессы ценообразования на рынках жилой недвижимости в регионах.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Построить мо</w:t>
      </w:r>
      <w:r>
        <w:rPr>
          <w:sz w:val="28"/>
          <w:szCs w:val="28"/>
        </w:rPr>
        <w:t>дели стоимостной оценки жилой недвижимости для регионов, учитывающие как индивидуальные характеристики регионов, так и общеэкономические показатели.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Построить ретроспективный прогноз на основе построенных моделей.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.</w:t>
      </w:r>
      <w:r>
        <w:rPr>
          <w:sz w:val="28"/>
          <w:szCs w:val="28"/>
        </w:rPr>
        <w:tab/>
        <w:t>Оценить прогностическую способность по</w:t>
      </w:r>
      <w:r>
        <w:rPr>
          <w:sz w:val="28"/>
          <w:szCs w:val="28"/>
        </w:rPr>
        <w:t>строенных моделей.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Объектом</w:t>
      </w:r>
      <w:r>
        <w:rPr>
          <w:sz w:val="28"/>
          <w:szCs w:val="28"/>
        </w:rPr>
        <w:t xml:space="preserve"> исследования служит рынок жилой недвижимости регионов России.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Предметом</w:t>
      </w:r>
      <w:r>
        <w:rPr>
          <w:sz w:val="28"/>
          <w:szCs w:val="28"/>
        </w:rPr>
        <w:t xml:space="preserve"> исследования является прогнозирование цен на жилую недвижимость первичного рынка на региональном уровне.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Методы исследования</w:t>
      </w:r>
      <w:r>
        <w:rPr>
          <w:sz w:val="28"/>
          <w:szCs w:val="28"/>
        </w:rPr>
        <w:t xml:space="preserve"> включали: теоретические методы </w:t>
      </w:r>
      <w:r>
        <w:rPr>
          <w:sz w:val="28"/>
          <w:szCs w:val="28"/>
        </w:rPr>
        <w:t>(анализ, синтез, сравнение, обобщение, моделирование), эмпирические (измерение, наблюдение, сравнение), статистические, математические.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Информационной базой</w:t>
      </w:r>
      <w:r>
        <w:rPr>
          <w:sz w:val="28"/>
          <w:szCs w:val="28"/>
        </w:rPr>
        <w:t xml:space="preserve"> исследования служат открытые данные Федеральной службы государственной статистики в период с 1998 п</w:t>
      </w:r>
      <w:r>
        <w:rPr>
          <w:sz w:val="28"/>
          <w:szCs w:val="28"/>
        </w:rPr>
        <w:t>о 2015 гг.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качестве инструментов для работы с данными и построения моделей использовались следующие статистические пакеты: IBM SPSS Statistics 22, EViews 7, Statistica 10.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Глава 1. Теоретические основы прогнозирования цен на недвижимость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.1 Специфика </w:t>
      </w:r>
      <w:r>
        <w:rPr>
          <w:b/>
          <w:bCs/>
          <w:sz w:val="28"/>
          <w:szCs w:val="28"/>
        </w:rPr>
        <w:t>ценообразования на рынке недвижимости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Рынок недвижимости можно рассматривать как систему, обеспечивающую поддержку и контроль отношений в рамках процессов аренды, купли и продажи, формируемые спросом и предложением.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Рынок недвижимости подразделяется на сл</w:t>
      </w:r>
      <w:r>
        <w:rPr>
          <w:sz w:val="28"/>
          <w:szCs w:val="28"/>
        </w:rPr>
        <w:t>едующие подкатегории: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Жилая недвижимость;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Коммерческая недвижимость, приносящая доход собственнику (торговые, складские, офисные помещения и т.д.);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Рынок земельных участков.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Кроме того, выделяют первичный и вторичный рынки недвижимости.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первичному </w:t>
      </w:r>
      <w:r>
        <w:rPr>
          <w:sz w:val="28"/>
          <w:szCs w:val="28"/>
        </w:rPr>
        <w:t>рынку относятся новые помещения, только что построенные. Операции по продаже осуществляют застройщики и инвесторы, выделяющие средства на строительные работы.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Вторичный рынок составляют объекты недвижимости, бывшие в использовании по основному назначению.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Рынок первичного использования показывает объем созданной недвижимости, объем вторичного рынка характеризуется следующими факторами: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Обеспеченность населения;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Мобильность трудовых ресурсов;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Прибыльность инвестиционных объектов;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Бытовые события (сме</w:t>
      </w:r>
      <w:r>
        <w:rPr>
          <w:sz w:val="28"/>
          <w:szCs w:val="28"/>
        </w:rPr>
        <w:t>на места жительства, свадьба, развод и т.д.).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Перемены и трансформации устройства вторичного рынка в регионах </w:t>
      </w:r>
      <w:r>
        <w:rPr>
          <w:sz w:val="28"/>
          <w:szCs w:val="28"/>
        </w:rPr>
        <w:lastRenderedPageBreak/>
        <w:t>происходят весьма редко и, как правило, являются следствием преобразований в составе населения (прирост населения, миграционные процессы и т.д.) и</w:t>
      </w:r>
      <w:r>
        <w:rPr>
          <w:sz w:val="28"/>
          <w:szCs w:val="28"/>
        </w:rPr>
        <w:t>ли в связи с переменами регионального экономического положения (остановка деятельности предприятий, изменения экологической ситуации). В связи с этим наибольшей важностью для экономики обладают тенденции именно первичного рынка: через его увеличение проявл</w:t>
      </w:r>
      <w:r>
        <w:rPr>
          <w:sz w:val="28"/>
          <w:szCs w:val="28"/>
        </w:rPr>
        <w:t xml:space="preserve">яется расширение фонда недвижимости и достигается равновесие на рынке. Мероприятия, проводимые государством в области недвижимости, способны воздействовать на масштаб и структуру рынка недвижимости (например, стимулирование аренды за счет повышения налога </w:t>
      </w:r>
      <w:r>
        <w:rPr>
          <w:sz w:val="28"/>
          <w:szCs w:val="28"/>
        </w:rPr>
        <w:t>на имущество).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Переход к рыночной экономике превратил объекты недвижимости в товар, к которому могут быть применены операции купли-продажи, следовательно, возникает необходимость в понятии стоимости. При этом система цен недвижимости имеет свои особенности</w:t>
      </w:r>
      <w:r>
        <w:rPr>
          <w:sz w:val="28"/>
          <w:szCs w:val="28"/>
        </w:rPr>
        <w:t>. Цена объекта складывается из ряда взаимосвязанных факторов, которые учитываются экспертами-оценщиками. К таковым факторам относятся: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Индивидуальные факторы объекта недвижимости;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Особенности внешней среды рынка;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Фактор спроса и предложения;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Фактор</w:t>
      </w:r>
      <w:r>
        <w:rPr>
          <w:sz w:val="28"/>
          <w:szCs w:val="28"/>
        </w:rPr>
        <w:t>ы пользователя объекта недвижимости;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Фактор целевого назначения объекта.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Степень влияния каждого из факторов зависит от конкретной ситуации, тем не менее необходимо учитывать весь спектр при проведении оценки объекта недвижимости.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Фактор спроса и предлож</w:t>
      </w:r>
      <w:r>
        <w:rPr>
          <w:sz w:val="28"/>
          <w:szCs w:val="28"/>
        </w:rPr>
        <w:t xml:space="preserve">ения оказывает наибольшее влияние на рыночную стоимость, как и для любого другого товара на рынке. Спрос характеризуется качеством объектов, которые по установившейся рыночной стоимости в данный момент времени могут и готовы купить заинтересованные </w:t>
      </w:r>
      <w:r>
        <w:rPr>
          <w:sz w:val="28"/>
          <w:szCs w:val="28"/>
        </w:rPr>
        <w:lastRenderedPageBreak/>
        <w:t>лица. П</w:t>
      </w:r>
      <w:r>
        <w:rPr>
          <w:sz w:val="28"/>
          <w:szCs w:val="28"/>
        </w:rPr>
        <w:t>редложение выражается числом объектов, которое представлено на рынке в текущий момент по некоторой цене. Уровень цен на рынке формируется из соотношения спроса и предложения.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Рынок жилой недвижимости характеризуется высокой стоимостью объектов недвижимости</w:t>
      </w:r>
      <w:r>
        <w:rPr>
          <w:sz w:val="28"/>
          <w:szCs w:val="28"/>
        </w:rPr>
        <w:t xml:space="preserve"> и низкой эластичностью предложения по цене: при сдвигах в ценах на жилые объекты объем предложения практически не изменяется. Такое поведение связано с длительностью стадии строительства. В связи с этим присутствует непрерывная связь между переменами в сп</w:t>
      </w:r>
      <w:r>
        <w:rPr>
          <w:sz w:val="28"/>
          <w:szCs w:val="28"/>
        </w:rPr>
        <w:t>росе и предложении. В случае роста спроса на жилые объекты, реакция (рост) предложения происходит только через 1-2 года; при падении спроса строительные работы не прекращаются, так как понесенные затраты весьма высоки. Такая связь между спросом и предложен</w:t>
      </w:r>
      <w:r>
        <w:rPr>
          <w:sz w:val="28"/>
          <w:szCs w:val="28"/>
        </w:rPr>
        <w:t>ием влечет за собой рассмотрение стоимости как главный фактор, регулирующий и уравновешивающий спрос и предложение на рынке. Отсюда возникает опасность возникновения ситуации, при которой рыночная стоимость объекта будет превышать справедливую рыночную цен</w:t>
      </w:r>
      <w:r>
        <w:rPr>
          <w:sz w:val="28"/>
          <w:szCs w:val="28"/>
        </w:rPr>
        <w:t>у. В том случае, если государство не осуществляет корректирующей политики для сглаживания такового положения, это может повлечь за собой увеличение амплитуды экономических циклов. В условиях экономического ослабления правительство должно проводить мероприя</w:t>
      </w:r>
      <w:r>
        <w:rPr>
          <w:sz w:val="28"/>
          <w:szCs w:val="28"/>
        </w:rPr>
        <w:t>тия для стимуляции интереса к приобретению жилья.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то же время, за периодом расцвета рынка жилья может последовать ситуация "перегрева", когда существенный рост объемов инвестиций в строительство станет нерентабельным на фоне ухудшения экономического поло</w:t>
      </w:r>
      <w:r>
        <w:rPr>
          <w:sz w:val="28"/>
          <w:szCs w:val="28"/>
        </w:rPr>
        <w:t>жения и несоответствия объемов спроса изначально предполагаемому уровню. Поэтому меры, предпринимаемые государством, должны быть максимально продуманными в случае, если потребуется влияние на дестабилизирующие процессы в сфере недвижимости и строительства.</w:t>
      </w:r>
      <w:r>
        <w:rPr>
          <w:sz w:val="28"/>
          <w:szCs w:val="28"/>
        </w:rPr>
        <w:t xml:space="preserve"> Данный </w:t>
      </w:r>
      <w:r>
        <w:rPr>
          <w:sz w:val="28"/>
          <w:szCs w:val="28"/>
        </w:rPr>
        <w:lastRenderedPageBreak/>
        <w:t>вопрос становится также немаловажным с ростом распространения ипотечного кредитования, поскольку в условиях экономического упадка наблюдается рост безработицы и падение доходов населения, что влечет за собой затруднения с исполнением кредитных обяз</w:t>
      </w:r>
      <w:r>
        <w:rPr>
          <w:sz w:val="28"/>
          <w:szCs w:val="28"/>
        </w:rPr>
        <w:t>ательств со стороны заемщиков.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Преимущественно цены зависят от возможностей инвесторов. Спрос на рынке недвижимости в большей степени подвержен изменениям, нежели предложение, так как падение или рост денежной массы занимают меньшее время, чем строительств</w:t>
      </w:r>
      <w:r>
        <w:rPr>
          <w:sz w:val="28"/>
          <w:szCs w:val="28"/>
        </w:rPr>
        <w:t>о новых объектов, которые формируют измененный объем предложения.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Можно выделить ряд факторов, которые учитываются при покупке недвижимости: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 xml:space="preserve">Полезность. Объект недвижимости представляет собой некоторую ценность для заинтересованного в нем лица. Владение </w:t>
      </w:r>
      <w:r>
        <w:rPr>
          <w:sz w:val="28"/>
          <w:szCs w:val="28"/>
        </w:rPr>
        <w:t>объектом может быть полезно для ведения коммерческой деятельности, для удовлетворения социальных или индивидуальных потребностей.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Взаимозаменяемость. Возможность выбора или замещения, присутствие на рынке объектов с точно такими же характеристиками влияе</w:t>
      </w:r>
      <w:r>
        <w:rPr>
          <w:sz w:val="28"/>
          <w:szCs w:val="28"/>
        </w:rPr>
        <w:t>т на ценность для покупателя.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Ожидания. Данный фактор отражает изменения ценности объекта со временем - ценность объекта, который может приносить доход, характеризуется объемом денежного потока, предполагаемого от владения им или перепродажи.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Объекты нед</w:t>
      </w:r>
      <w:r>
        <w:rPr>
          <w:sz w:val="28"/>
          <w:szCs w:val="28"/>
        </w:rPr>
        <w:t>вижимости находятся в свободном гражданском обороте и могут выступать в качестве объектов сделок различного рода, откуда возникает необходимость в определении их стоимости, т.е. оценки денежного эквивалента конкретного объекта в отдельный момент времени.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ынок недвижимости представляет собой совокупность процессов, обеспечивающих создание, передачу, использование и финансирование недвижимого имущества. Среди факторов, влияющих на развитие рынка, можно </w:t>
      </w:r>
      <w:r>
        <w:rPr>
          <w:sz w:val="28"/>
          <w:szCs w:val="28"/>
        </w:rPr>
        <w:lastRenderedPageBreak/>
        <w:t>выделить следующие: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Текущий или потенциальный экономич</w:t>
      </w:r>
      <w:r>
        <w:rPr>
          <w:sz w:val="28"/>
          <w:szCs w:val="28"/>
        </w:rPr>
        <w:t>еский подъем;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Финансовые ресурсы для приобретения прав на недвижимость; зависят от экономического состояния отдельного региона (производственное развитие, кризис, застой и т.д.), наличие рабочих мест;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Связь экономических перспектив района и цен на недв</w:t>
      </w:r>
      <w:r>
        <w:rPr>
          <w:sz w:val="28"/>
          <w:szCs w:val="28"/>
        </w:rPr>
        <w:t>ижимость; в некоторых регионах могут наблюдаться застойные явления в связи с упадком или изменением территориального положения промышленных объектов, что влечет за собой дисбаланс на рынке недвижимости.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Также на рынок недвижимости оказывают воздействие осо</w:t>
      </w:r>
      <w:r>
        <w:rPr>
          <w:sz w:val="28"/>
          <w:szCs w:val="28"/>
        </w:rPr>
        <w:t>бенности государственного регулирования, общая экономическая ситуация, микроэкономическое положение, состояние социальной сферы и экологическая обстановка в регионе.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уровни цен на первичном и вторичных рынках оказывают воздействие: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 xml:space="preserve">Макроэкономические </w:t>
      </w:r>
      <w:r>
        <w:rPr>
          <w:sz w:val="28"/>
          <w:szCs w:val="28"/>
        </w:rPr>
        <w:t>показатели (курсы валют, цены на нефть, акции и т.д.);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Уровень жизни;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Себестоимость строительства;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Доступность ипотечного кредитования, субсидирования;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Политика местных властей в области недвижимости и строительства.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Платежеспособность населения.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Оценка стоимости представляет собой трудоемкий процесс формирования денежного эквивалента объекта недвижимого имущества. Данная процедура предполагает высокую квалификацию оценивающего лица, владение необходимыми навыками, инструментами, знаниями правовой</w:t>
      </w:r>
      <w:r>
        <w:rPr>
          <w:sz w:val="28"/>
          <w:szCs w:val="28"/>
        </w:rPr>
        <w:t xml:space="preserve"> сферы, а также информированность относительно ситуации на рынке, в особенности в </w:t>
      </w:r>
      <w:r>
        <w:rPr>
          <w:sz w:val="28"/>
          <w:szCs w:val="28"/>
        </w:rPr>
        <w:lastRenderedPageBreak/>
        <w:t>рассматриваемом сегменте. Необходимость в оценке объектов недвижимости возникает при: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Процедурах покупки, продажи или сдачи в аренду;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Планировании инвестиционных проектов</w:t>
      </w:r>
      <w:r>
        <w:rPr>
          <w:sz w:val="28"/>
          <w:szCs w:val="28"/>
        </w:rPr>
        <w:t xml:space="preserve"> и привлечении инвесторов;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Страховании недвижимости;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Налогообложении объектов недвижимости;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Исполнении юридических предписаний (права наследования, приговор, решение имущественных споров и т.д.);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Кредитовании под залог объектов недвижимости;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Иные</w:t>
      </w:r>
      <w:r>
        <w:rPr>
          <w:sz w:val="28"/>
          <w:szCs w:val="28"/>
        </w:rPr>
        <w:t xml:space="preserve"> операции над недвижимым имуществом.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.2 Факторы влияния на стоимость недвижимости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зависимости от этапа процесса оценки объектов, выделяются различные факторы, которые лежат в основе изменений цен на недвижимость. Данные факторы можно распределить по тр</w:t>
      </w:r>
      <w:r>
        <w:rPr>
          <w:sz w:val="28"/>
          <w:szCs w:val="28"/>
        </w:rPr>
        <w:t>ем уровням.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Первый уровень</w:t>
      </w:r>
      <w:r>
        <w:rPr>
          <w:sz w:val="28"/>
          <w:szCs w:val="28"/>
        </w:rPr>
        <w:t xml:space="preserve"> - глобальный, представляет собой результат влияния следующих групп факторов: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Политических;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>
        <w:rPr>
          <w:sz w:val="28"/>
          <w:szCs w:val="28"/>
        </w:rPr>
        <w:tab/>
        <w:t>Экономических;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Социальных;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Географических/экологических.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данному уровню относятся факторы, которые не имеют прямого отношения к</w:t>
      </w:r>
      <w:r>
        <w:rPr>
          <w:sz w:val="28"/>
          <w:szCs w:val="28"/>
        </w:rPr>
        <w:t xml:space="preserve"> объекту оценки (не являются его характеристиками), представляют собой внешние рычаги влияния, но оказывают воздействие на процессы рынка недвижимости и, как следствие, на рассматриваемый объект.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К </w:t>
      </w:r>
      <w:r>
        <w:rPr>
          <w:i/>
          <w:iCs/>
          <w:sz w:val="28"/>
          <w:szCs w:val="28"/>
        </w:rPr>
        <w:t>социальным</w:t>
      </w:r>
      <w:r>
        <w:rPr>
          <w:sz w:val="28"/>
          <w:szCs w:val="28"/>
        </w:rPr>
        <w:t xml:space="preserve"> факторам данного уровня относятся: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 xml:space="preserve">Структура </w:t>
      </w:r>
      <w:r>
        <w:rPr>
          <w:sz w:val="28"/>
          <w:szCs w:val="28"/>
        </w:rPr>
        <w:t>населения;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Демографические показатели;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Плотность заселения;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Уровень развития культуры и образования.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>
        <w:rPr>
          <w:i/>
          <w:iCs/>
          <w:sz w:val="28"/>
          <w:szCs w:val="28"/>
        </w:rPr>
        <w:t>экономическим</w:t>
      </w:r>
      <w:r>
        <w:rPr>
          <w:sz w:val="28"/>
          <w:szCs w:val="28"/>
        </w:rPr>
        <w:t xml:space="preserve"> факторам данного уровня относятся: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Уровень качества жизни населения;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Предложение и спрос рынков;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Строительные инвестиции;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Нал</w:t>
      </w:r>
      <w:r>
        <w:rPr>
          <w:sz w:val="28"/>
          <w:szCs w:val="28"/>
        </w:rPr>
        <w:t>оги на недвижимость;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Развитие строительства.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>
        <w:rPr>
          <w:i/>
          <w:iCs/>
          <w:sz w:val="28"/>
          <w:szCs w:val="28"/>
        </w:rPr>
        <w:t>географическим/экологическим</w:t>
      </w:r>
      <w:r>
        <w:rPr>
          <w:sz w:val="28"/>
          <w:szCs w:val="28"/>
        </w:rPr>
        <w:t xml:space="preserve"> факторам данного уровня относятся: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Расположение;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Экология;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Природные ресурсы.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Местоположение играет важную роль, поскольку некоторые ЗОНЫ могут быть ограничены в использова</w:t>
      </w:r>
      <w:r>
        <w:rPr>
          <w:sz w:val="28"/>
          <w:szCs w:val="28"/>
        </w:rPr>
        <w:t>нии с связи с условиями охраны окружающей среды, а возможная сейсмическая опасность должна учитываться при проектировании построек и планировании затрат на их возведение.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>
        <w:rPr>
          <w:i/>
          <w:iCs/>
          <w:sz w:val="28"/>
          <w:szCs w:val="28"/>
        </w:rPr>
        <w:t>политическим</w:t>
      </w:r>
      <w:r>
        <w:rPr>
          <w:sz w:val="28"/>
          <w:szCs w:val="28"/>
        </w:rPr>
        <w:t xml:space="preserve"> факторам данного уровня относятся: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Ипотечное и налоговое законодател</w:t>
      </w:r>
      <w:r>
        <w:rPr>
          <w:sz w:val="28"/>
          <w:szCs w:val="28"/>
        </w:rPr>
        <w:t>ьство;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Кредитная политика;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Политическая стабильность.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Второй уровень</w:t>
      </w:r>
      <w:r>
        <w:rPr>
          <w:sz w:val="28"/>
          <w:szCs w:val="28"/>
        </w:rPr>
        <w:t xml:space="preserve"> - факторы локального уровня в рамках города или района, имеют прямое отношение к объекту недвижимости. Характерные группы факторов: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Условия финансирования;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2.</w:t>
      </w:r>
      <w:r>
        <w:rPr>
          <w:sz w:val="28"/>
          <w:szCs w:val="28"/>
        </w:rPr>
        <w:tab/>
        <w:t>Местоположение объекта</w:t>
      </w:r>
      <w:r>
        <w:rPr>
          <w:sz w:val="28"/>
          <w:szCs w:val="28"/>
        </w:rPr>
        <w:t>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Физические особенности недвижимого имущества.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факторам </w:t>
      </w:r>
      <w:r>
        <w:rPr>
          <w:i/>
          <w:iCs/>
          <w:sz w:val="28"/>
          <w:szCs w:val="28"/>
        </w:rPr>
        <w:t>местоположения</w:t>
      </w:r>
      <w:r>
        <w:rPr>
          <w:sz w:val="28"/>
          <w:szCs w:val="28"/>
        </w:rPr>
        <w:t xml:space="preserve"> данного уровня относятся: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Транспортная доступность;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Окружение;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Наличие социально-культурных объектов;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Расположение относительно плана города (района).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Развитая система обще</w:t>
      </w:r>
      <w:r>
        <w:rPr>
          <w:sz w:val="28"/>
          <w:szCs w:val="28"/>
        </w:rPr>
        <w:t>ственного транспорта, а также наличие стоянок для автомобилей повышает стоимость объектов недвижимости.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>
        <w:rPr>
          <w:i/>
          <w:iCs/>
          <w:sz w:val="28"/>
          <w:szCs w:val="28"/>
        </w:rPr>
        <w:t>физическим</w:t>
      </w:r>
      <w:r>
        <w:rPr>
          <w:sz w:val="28"/>
          <w:szCs w:val="28"/>
        </w:rPr>
        <w:t xml:space="preserve"> факторам данного уровня относятся: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Комфортность объекта;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Функциональная пригодность;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Уровень развития коммунальных услуг;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 xml:space="preserve">Качество </w:t>
      </w:r>
      <w:r>
        <w:rPr>
          <w:sz w:val="28"/>
          <w:szCs w:val="28"/>
        </w:rPr>
        <w:t>строительства и эксплуатации;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Физические свойства объекта.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Характеристики состояния объекта играют важную роль в ценообразовании, также как доступность и качество предоставления коммунальных услуг.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>
        <w:rPr>
          <w:i/>
          <w:iCs/>
          <w:sz w:val="28"/>
          <w:szCs w:val="28"/>
        </w:rPr>
        <w:t>условиям финансирования</w:t>
      </w:r>
      <w:r>
        <w:rPr>
          <w:sz w:val="28"/>
          <w:szCs w:val="28"/>
        </w:rPr>
        <w:t xml:space="preserve"> относятся: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Условия кредитова</w:t>
      </w:r>
      <w:r>
        <w:rPr>
          <w:sz w:val="28"/>
          <w:szCs w:val="28"/>
        </w:rPr>
        <w:t>ния;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Процентные ставки;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Условия предоставления средств.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Третий уровень</w:t>
      </w:r>
      <w:r>
        <w:rPr>
          <w:sz w:val="28"/>
          <w:szCs w:val="28"/>
        </w:rPr>
        <w:t xml:space="preserve"> - факторы, характеризующие объект недвижимости.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Архитектурно-строительные</w:t>
      </w:r>
      <w:r>
        <w:rPr>
          <w:sz w:val="28"/>
          <w:szCs w:val="28"/>
        </w:rPr>
        <w:t xml:space="preserve"> факторы отражают объемно-планировочные показатели - соответствие климатическим требованиям, требованиям пла</w:t>
      </w:r>
      <w:r>
        <w:rPr>
          <w:sz w:val="28"/>
          <w:szCs w:val="28"/>
        </w:rPr>
        <w:t xml:space="preserve">нировки, освещенности, внешнего вида и т.д. Цели, для которых планируется использование объекта, накладывают </w:t>
      </w:r>
      <w:r>
        <w:rPr>
          <w:sz w:val="28"/>
          <w:szCs w:val="28"/>
        </w:rPr>
        <w:lastRenderedPageBreak/>
        <w:t>требования к его планировке и размещению, поэтому необходимо проверять соответствие характеристик предполагаемой функции объекта недвижимости.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>
        <w:rPr>
          <w:i/>
          <w:iCs/>
          <w:sz w:val="28"/>
          <w:szCs w:val="28"/>
        </w:rPr>
        <w:t>фи</w:t>
      </w:r>
      <w:r>
        <w:rPr>
          <w:i/>
          <w:iCs/>
          <w:sz w:val="28"/>
          <w:szCs w:val="28"/>
        </w:rPr>
        <w:t>нансово-эксплуатационным</w:t>
      </w:r>
      <w:r>
        <w:rPr>
          <w:sz w:val="28"/>
          <w:szCs w:val="28"/>
        </w:rPr>
        <w:t xml:space="preserve"> факторам относятся: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Затраты на строительство;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Затраты на эксплуатацию;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Доходы.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Влияние данных показателей необходимо учитывать в зависимости от уровня детализации оценки, поскольку оказываемое воздействие может осуществляться</w:t>
      </w:r>
      <w:r>
        <w:rPr>
          <w:sz w:val="28"/>
          <w:szCs w:val="28"/>
        </w:rPr>
        <w:t xml:space="preserve"> на отдельных этапах.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.3 Модели оценки объектов недвижимости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Изучение литературы показало, что индивидуальной оценке стоимости отдельного объекта или массовой оценке ряда объектов посвящено достаточно много исследований, выработаны подходы и методы анали</w:t>
      </w:r>
      <w:r>
        <w:rPr>
          <w:sz w:val="28"/>
          <w:szCs w:val="28"/>
        </w:rPr>
        <w:t>за, составлены эффективные модели. Тем не менее, прогнозированию и моделированию ценообразования на рынке недвижимости на уровне регионов уделяется весьма мало внимания. Далее рассмотрим подходы к моделированию и построению моделей прогнозирования, которые</w:t>
      </w:r>
      <w:r>
        <w:rPr>
          <w:sz w:val="28"/>
          <w:szCs w:val="28"/>
        </w:rPr>
        <w:t xml:space="preserve"> применяются для региональных рынков.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Модели на основе анализа трендов. Применимы в условиях стабильного развития рынка недвижимости.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.1.</w:t>
      </w:r>
      <w:r>
        <w:rPr>
          <w:sz w:val="28"/>
          <w:szCs w:val="28"/>
        </w:rPr>
        <w:tab/>
        <w:t>Модели, использующие тренды, построенные по данным цен на объекты недвижимости, которые интерполируются функциями ра</w:t>
      </w:r>
      <w:r>
        <w:rPr>
          <w:sz w:val="28"/>
          <w:szCs w:val="28"/>
        </w:rPr>
        <w:t xml:space="preserve">зличной степени сложности. При данном подходе не учитываются внутренние рычаги изменений цен, в связи с чем такой подход не гарантирует высокую степень точности в прогнозах. Высокая степень полинома влечет за собой неустойчивость прогноза и большие ошибки </w:t>
      </w:r>
      <w:r>
        <w:rPr>
          <w:sz w:val="28"/>
          <w:szCs w:val="28"/>
        </w:rPr>
        <w:t xml:space="preserve">по сравнению с моделями более простой структуры. Применение кусочного тренда снижает объем выборки на </w:t>
      </w:r>
      <w:r>
        <w:rPr>
          <w:sz w:val="28"/>
          <w:szCs w:val="28"/>
        </w:rPr>
        <w:lastRenderedPageBreak/>
        <w:t xml:space="preserve">каждом промежутке, что сказывается на точности приближения и качестве прогноза. Такой метод рационально использовать только в том случае, если существуют </w:t>
      </w:r>
      <w:r>
        <w:rPr>
          <w:sz w:val="28"/>
          <w:szCs w:val="28"/>
        </w:rPr>
        <w:t>периоды времени, в течение которых наблюдается некоторая закономерность при изменениях цен, а также при применении методов компонентного разложения временного ряда для последующего анализа сезонной составляющей.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</w:t>
      </w:r>
      <w:r>
        <w:rPr>
          <w:sz w:val="28"/>
          <w:szCs w:val="28"/>
        </w:rPr>
        <w:tab/>
        <w:t>Авторегрессионные модели, в основе кото</w:t>
      </w:r>
      <w:r>
        <w:rPr>
          <w:sz w:val="28"/>
          <w:szCs w:val="28"/>
        </w:rPr>
        <w:t>рых лежат связи между текущими значениями рассматриваемого временного ряда и значениями этого же ряда в некоторые предшествующие моменты времени. Также считается, что характер изменения стоимости не меняется., наблюдается равновесие спроса и предложения, х</w:t>
      </w:r>
      <w:r>
        <w:rPr>
          <w:sz w:val="28"/>
          <w:szCs w:val="28"/>
        </w:rPr>
        <w:t>арактерное для саморегулирующегося баланса на рынке. Прогнозы на основе авторегрессии можно рассматривать в рамках стабильных процессов (модели применимы только для стационарных рядов), когда можно предполагать, что в прогнозный период не возникнет значите</w:t>
      </w:r>
      <w:r>
        <w:rPr>
          <w:sz w:val="28"/>
          <w:szCs w:val="28"/>
        </w:rPr>
        <w:t>льных событий, изменения цен будут происходить с сохранением прошлых тенденций. Возникновение внезапных кризисных ситуаций влечет за собой нарушения установившихся механизмов изменения цен, и требует в таком случае исследования скрытых рычагов, управляющих</w:t>
      </w:r>
      <w:r>
        <w:rPr>
          <w:sz w:val="28"/>
          <w:szCs w:val="28"/>
        </w:rPr>
        <w:t xml:space="preserve"> динамикой цен.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>
        <w:rPr>
          <w:sz w:val="28"/>
          <w:szCs w:val="28"/>
        </w:rPr>
        <w:tab/>
        <w:t>Модели на основе статистического подобия процессов. В основе лежит предположение, что экономическая система циклична. Использование данного подхода эффективно как во время, так и после кризиса. Тем не менее, минусом такого рода моделей я</w:t>
      </w:r>
      <w:r>
        <w:rPr>
          <w:sz w:val="28"/>
          <w:szCs w:val="28"/>
        </w:rPr>
        <w:t>вляется невозможность учета особенностей отдельных регионов (географическое расположение, экологические условия и т.д.), которые напрямую влияют на формирование цен рынка недвижимости.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>
        <w:rPr>
          <w:sz w:val="28"/>
          <w:szCs w:val="28"/>
        </w:rPr>
        <w:tab/>
        <w:t>Модели кластерного и факторного анализа.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3.1.</w:t>
      </w:r>
      <w:r>
        <w:rPr>
          <w:sz w:val="28"/>
          <w:szCs w:val="28"/>
        </w:rPr>
        <w:tab/>
        <w:t>При использовании клас</w:t>
      </w:r>
      <w:r>
        <w:rPr>
          <w:sz w:val="28"/>
          <w:szCs w:val="28"/>
        </w:rPr>
        <w:t xml:space="preserve">терного анализа модель формируется за счет последовательных или параллельных сечений исходной выборки данных (группировка, стратификация) по ценоопределяющим факторам, которые в </w:t>
      </w:r>
      <w:r>
        <w:rPr>
          <w:sz w:val="28"/>
          <w:szCs w:val="28"/>
        </w:rPr>
        <w:lastRenderedPageBreak/>
        <w:t>большей степени коррелируют с ценами объектов, и вычисления коэффициентов моде</w:t>
      </w:r>
      <w:r>
        <w:rPr>
          <w:sz w:val="28"/>
          <w:szCs w:val="28"/>
        </w:rPr>
        <w:t>ли на основе сравнения средних значений усеченной и исходной выборок. Происходит формирование групп объектов (кластеров) на основе общего сходства некоторых признаков отдельных объектов. Для каждого кластера вычисляется средняя цена, которая при определенн</w:t>
      </w:r>
      <w:r>
        <w:rPr>
          <w:sz w:val="28"/>
          <w:szCs w:val="28"/>
        </w:rPr>
        <w:t>ых условиях может быть установлена в качестве рыночной для элементов этой группы. Модели данной категории также не предоставляют возможности определить факторы, воздействующие на механизм ценообразования в сфере недвижимости.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3.2.</w:t>
      </w:r>
      <w:r>
        <w:rPr>
          <w:sz w:val="28"/>
          <w:szCs w:val="28"/>
        </w:rPr>
        <w:tab/>
        <w:t>Модель факторного анализа</w:t>
      </w:r>
      <w:r>
        <w:rPr>
          <w:sz w:val="28"/>
          <w:szCs w:val="28"/>
        </w:rPr>
        <w:t xml:space="preserve"> формируется за счет перехода от наблюдаемых показателей к обобщающим факторам, применимым в дальнейшем в корреляционно-регрессионном анализе. В первую очередь факторный анализ работает как первичная обработка и анализ данных для дальнейшей оценки и не пре</w:t>
      </w:r>
      <w:r>
        <w:rPr>
          <w:sz w:val="28"/>
          <w:szCs w:val="28"/>
        </w:rPr>
        <w:t>дполагает функционирование как самодостаточный метод прогнозирование.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.3.</w:t>
      </w:r>
      <w:r>
        <w:rPr>
          <w:sz w:val="28"/>
          <w:szCs w:val="28"/>
        </w:rPr>
        <w:tab/>
        <w:t>Использование факторного и кластерного анализа "сжимает" собранные в ходе наблюдения данные, поскольку из всего объема информации выделяются средние или факторные данные, что снижает</w:t>
      </w:r>
      <w:r>
        <w:rPr>
          <w:sz w:val="28"/>
          <w:szCs w:val="28"/>
        </w:rPr>
        <w:t xml:space="preserve"> объем случайных отклонений от "истинных" данных. Таким образом можно весьма эффективно определить закономерности рынка недвижимости и на их основании построить более надежные модели оценки.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>
        <w:rPr>
          <w:sz w:val="28"/>
          <w:szCs w:val="28"/>
        </w:rPr>
        <w:tab/>
        <w:t>Нейросетевое моделирование. Для построения нейронной сети разм</w:t>
      </w:r>
      <w:r>
        <w:rPr>
          <w:sz w:val="28"/>
          <w:szCs w:val="28"/>
        </w:rPr>
        <w:t>ер выборки, на которой проводится "обучение" сети, должна быть довольно большого объема и иметь одну моду. Также для каждого отдельного региона необходимо проводить "переобучение" сети или построение новой. Тем не менее, нейросетевые модели в области недви</w:t>
      </w:r>
      <w:r>
        <w:rPr>
          <w:sz w:val="28"/>
          <w:szCs w:val="28"/>
        </w:rPr>
        <w:t>жимости показывают слабые прогностические способности [15].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</w:t>
      </w:r>
      <w:r>
        <w:rPr>
          <w:sz w:val="28"/>
          <w:szCs w:val="28"/>
        </w:rPr>
        <w:tab/>
        <w:t xml:space="preserve">Пространственно-параметрическое моделирование. Подход предполагает, что большая часть цены определяется некоторым рядом </w:t>
      </w:r>
      <w:r>
        <w:rPr>
          <w:sz w:val="28"/>
          <w:szCs w:val="28"/>
        </w:rPr>
        <w:lastRenderedPageBreak/>
        <w:t>значимых показателей, для которых осуществляется проверка статической зна</w:t>
      </w:r>
      <w:r>
        <w:rPr>
          <w:sz w:val="28"/>
          <w:szCs w:val="28"/>
        </w:rPr>
        <w:t>чимости их средних значений. Применять метод целесообразно для развитых рынков, так как для слаборазвитых и неоднородных рынков результаты неэффективны.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Экспертная оценка. Основана на знаниях и опыте оценщика, надежность такого прогноза зависит от квалиф</w:t>
      </w:r>
      <w:r>
        <w:rPr>
          <w:sz w:val="28"/>
          <w:szCs w:val="28"/>
        </w:rPr>
        <w:t>икации эксперта. Отсюда вытекает и недостаток - прогноз носит субъективный характер.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Изучение методов, используемых при оценке и прогнозировании процессов на рынке недвижимости показало, что наиболее распространенным методом является эконометрический подхо</w:t>
      </w:r>
      <w:r>
        <w:rPr>
          <w:sz w:val="28"/>
          <w:szCs w:val="28"/>
        </w:rPr>
        <w:t>д.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Глава 2. Эконометрическое моделирование цен на недвижимость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рамках данной работы производится построение моделей двух видов - интегрированная модель авторегрессии - скользящего среднего и многофакторная модель регрессии, в связи с чем в данной глав</w:t>
      </w:r>
      <w:r>
        <w:rPr>
          <w:sz w:val="28"/>
          <w:szCs w:val="28"/>
        </w:rPr>
        <w:t>е рассматриваются принципы и эконометрические основы построения и анализа данных моделей прогнозирования.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.1 Интегрированная модель авторегрессии-скользящего среднего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Внутренняя структура динамического ряда, зависимость уровня yt от предыдущих его значен</w:t>
      </w:r>
      <w:r>
        <w:rPr>
          <w:sz w:val="28"/>
          <w:szCs w:val="28"/>
        </w:rPr>
        <w:t xml:space="preserve">ий </w:t>
      </w:r>
      <w:r>
        <w:rPr>
          <w:i/>
          <w:iCs/>
          <w:sz w:val="28"/>
          <w:szCs w:val="28"/>
        </w:rPr>
        <w:t>yt-1, yt-2, ..., yt-p</w:t>
      </w:r>
      <w:r>
        <w:rPr>
          <w:sz w:val="28"/>
          <w:szCs w:val="28"/>
        </w:rPr>
        <w:t xml:space="preserve"> описывается авторегрессионной функцией: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064510" cy="251460"/>
            <wp:effectExtent l="1905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510" cy="25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iCs/>
          <w:sz w:val="28"/>
          <w:szCs w:val="28"/>
        </w:rPr>
        <w:t>р</w:t>
      </w:r>
      <w:r>
        <w:rPr>
          <w:sz w:val="28"/>
          <w:szCs w:val="28"/>
        </w:rPr>
        <w:t xml:space="preserve"> - порядок авторегрессии;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ap</w:t>
      </w:r>
      <w:r>
        <w:rPr>
          <w:sz w:val="28"/>
          <w:szCs w:val="28"/>
        </w:rPr>
        <w:t xml:space="preserve"> - коэффициент авторегрессии.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Процесс авторегрессии порядка р функционально связан с автокорреляционной функцией 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331085" cy="25146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085" cy="25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iCs/>
          <w:sz w:val="28"/>
          <w:szCs w:val="28"/>
        </w:rPr>
        <w:t>p = 1,2,...m</w:t>
      </w:r>
      <w:r>
        <w:rPr>
          <w:sz w:val="28"/>
          <w:szCs w:val="28"/>
        </w:rPr>
        <w:t xml:space="preserve"> - лаг автокорреляции (сдвигание yt на p значений назад);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r0=1</w:t>
      </w:r>
      <w:r>
        <w:rPr>
          <w:sz w:val="28"/>
          <w:szCs w:val="28"/>
        </w:rPr>
        <w:t xml:space="preserve"> 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модели ARIMA уровень динамического ряда yt определяется как взвешенная сумма предыдущих его значений и значений остатков et - текущих и преды</w:t>
      </w:r>
      <w:r>
        <w:rPr>
          <w:sz w:val="28"/>
          <w:szCs w:val="28"/>
        </w:rPr>
        <w:t xml:space="preserve">дущих. Она объединяет модель авторегрессии порядка р и модель </w:t>
      </w:r>
      <w:r>
        <w:rPr>
          <w:sz w:val="28"/>
          <w:szCs w:val="28"/>
        </w:rPr>
        <w:lastRenderedPageBreak/>
        <w:t>скользящей средней остатков порядка q. Тренд включается в ARIMA с помощью оператора конечных разностей ряда yt. Для фильтрации линейного тренда используют разницы первого порядка, для фильтрации</w:t>
      </w:r>
      <w:r>
        <w:rPr>
          <w:sz w:val="28"/>
          <w:szCs w:val="28"/>
        </w:rPr>
        <w:t xml:space="preserve"> параболического тренда - разницы второго порядка и т.д. Разница d должна быть стационарной.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Вид модели ARIMA, адекватность ее реальному процессу и прогнозные свойства зависят от порядка авторегрессии р и порядка скользящей средней q. В стандартной методик</w:t>
      </w:r>
      <w:r>
        <w:rPr>
          <w:sz w:val="28"/>
          <w:szCs w:val="28"/>
        </w:rPr>
        <w:t xml:space="preserve">е ARIMA идентификация сводится к визуальному анализу автокоррелограмм и основывается на принципе экономии, по которому </w:t>
      </w:r>
      <w:r>
        <w:rPr>
          <w:i/>
          <w:iCs/>
          <w:sz w:val="28"/>
          <w:szCs w:val="28"/>
        </w:rPr>
        <w:t>(p + q) &lt;= 2</w:t>
      </w:r>
      <w:r>
        <w:rPr>
          <w:sz w:val="28"/>
          <w:szCs w:val="28"/>
        </w:rPr>
        <w:t>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Модель ARIMA порядка (р, d, q) достаточно гибкая и описывает широкий спектр несезонных процессов. При наличии сезонных коле</w:t>
      </w:r>
      <w:r>
        <w:rPr>
          <w:sz w:val="28"/>
          <w:szCs w:val="28"/>
        </w:rPr>
        <w:t>баний в модели учитывается их периодичность с лагом s (для квартальных данных s = 4, для помесячных s = 12), и аналогичного смысла параметрами (P, D, Q)s. Порядок мультипликативной модели ARIMA составляет (</w:t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</w:rPr>
        <w:t>)(</w:t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</w:rPr>
        <w:t>)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Самые простые виды моделей ARI</w:t>
      </w:r>
      <w:r>
        <w:rPr>
          <w:sz w:val="28"/>
          <w:szCs w:val="28"/>
        </w:rPr>
        <w:t>MA: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(1,0,0) - авторегрессионная функция;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(0,1,0) - скользящая средняя;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(1,0,1) - комбинированная модель авторегрессии и скользящей средней;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(0,1,1) - экспоненциальная средняя;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(1,1,1) - нестационарный процесс с линейным трендом;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(0,1,1)×(0,1,1)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sz w:val="28"/>
          <w:szCs w:val="28"/>
        </w:rPr>
        <w:t>мультипликативная модель сезонного процесса.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Сезонные данные имеют четкую структуру, которая повторяется каждый год. В месячных данных с годовой сезонной структурой значения для тех же месяцев в разные годы должны коррелировать между собой, т.е коррелир</w:t>
      </w:r>
      <w:r>
        <w:rPr>
          <w:sz w:val="28"/>
          <w:szCs w:val="28"/>
        </w:rPr>
        <w:t xml:space="preserve">овать между собой должны не только отдельные наблюдения в течение одного и того же года, но и наблюдения с периодом, кратным целому году. Коэффициенты автокорреляции и частичной автокорреляции подобных данных будут </w:t>
      </w:r>
      <w:r>
        <w:rPr>
          <w:sz w:val="28"/>
          <w:szCs w:val="28"/>
        </w:rPr>
        <w:lastRenderedPageBreak/>
        <w:t>ненулевыми при небольших интервалах опозд</w:t>
      </w:r>
      <w:r>
        <w:rPr>
          <w:sz w:val="28"/>
          <w:szCs w:val="28"/>
        </w:rPr>
        <w:t>ания (внутренние взаимосвязи). Интерпретация коэффициентов автокорреляции и частичной автокорреляции при сезонных интервалах будет такой же, как и для коэффициентов автокорреляции и частичной автокорреляции при малых интервалах.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Сезонные модели ARIMA включ</w:t>
      </w:r>
      <w:r>
        <w:rPr>
          <w:sz w:val="28"/>
          <w:szCs w:val="28"/>
        </w:rPr>
        <w:t>ают в себя обычные авторегрессионные члены и члены скользящего среднего, которые отвечают за корреляции при низких интервалах, а также авторегрессионные члены и члены скользящего среднего, которые отвечают за автокорреляции и частичные автокорреляции при с</w:t>
      </w:r>
      <w:r>
        <w:rPr>
          <w:sz w:val="28"/>
          <w:szCs w:val="28"/>
        </w:rPr>
        <w:t>езонных интервалах. В случае нестационарных сезонных рядов для достижения полноты описания часто необходимо дополнительно учесть в модели сезонные разницы.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Модели ARIMA устанавливаются (выбираются) путем анализа исследуемого ряда и сравнения структуры его </w:t>
      </w:r>
      <w:r>
        <w:rPr>
          <w:sz w:val="28"/>
          <w:szCs w:val="28"/>
        </w:rPr>
        <w:t>функций выборочной автокорреляции и частичной автокорреляции с известной теоретической структурой процессов ARIMA. Однако этой процедуре присуща определенная доля субъективизма и возможно, что две (или более) моделей будут достаточно точно отвечать имеющей</w:t>
      </w:r>
      <w:r>
        <w:rPr>
          <w:sz w:val="28"/>
          <w:szCs w:val="28"/>
        </w:rPr>
        <w:t>ся структуре функций выборочной автокорреляции и частичной автокорреляции. Более того, после оценки и проверки может оказаться, что обе модели вполне адекватно описывают данные. Если модели содержат одинаковое количество параметров, тогда преимущество след</w:t>
      </w:r>
      <w:r>
        <w:rPr>
          <w:sz w:val="28"/>
          <w:szCs w:val="28"/>
        </w:rPr>
        <w:t xml:space="preserve">ует отдать модели с наименьшей среднеквадратичной ошибкой </w:t>
      </w:r>
      <w:r>
        <w:rPr>
          <w:i/>
          <w:iCs/>
          <w:sz w:val="28"/>
          <w:szCs w:val="28"/>
        </w:rPr>
        <w:t>s2</w:t>
      </w:r>
      <w:r>
        <w:rPr>
          <w:sz w:val="28"/>
          <w:szCs w:val="28"/>
        </w:rPr>
        <w:t>. Если количество параметров в моделях разное, то по принципу экономии рекомендуется более простая модель. Однако модели с большим количеством параметров могут иметь существенно меньшую среднеквад</w:t>
      </w:r>
      <w:r>
        <w:rPr>
          <w:sz w:val="28"/>
          <w:szCs w:val="28"/>
        </w:rPr>
        <w:t>ратичную ошибку.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Учитывая все вышесказанное, было разработано несколько подходов к выбору модели, которые учитывают как качества модели, так и количество ее параметров. Информационный критерий Акаике или AIC, позволяет выбрать наилучшую модель из группы мо</w:t>
      </w:r>
      <w:r>
        <w:rPr>
          <w:sz w:val="28"/>
          <w:szCs w:val="28"/>
        </w:rPr>
        <w:t xml:space="preserve">делей-претендентов. Согласно этому </w:t>
      </w:r>
      <w:r>
        <w:rPr>
          <w:sz w:val="28"/>
          <w:szCs w:val="28"/>
        </w:rPr>
        <w:lastRenderedPageBreak/>
        <w:t xml:space="preserve">критерию, выбирается модель, которая минимизирует выражение 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547495" cy="42227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7495" cy="42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00660" cy="231140"/>
            <wp:effectExtent l="1905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00660" cy="231140"/>
            <wp:effectExtent l="1905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- остаточная сумма квадратов, деленная на кол</w:t>
      </w:r>
      <w:r>
        <w:rPr>
          <w:sz w:val="28"/>
          <w:szCs w:val="28"/>
        </w:rPr>
        <w:t>ичество наблюдений; n - количество наблюдений; r - общее количество слагаемых (включительно с постоянным слагаемым) в модели ARIMA.</w:t>
      </w:r>
    </w:p>
    <w:p w:rsidR="00000000" w:rsidRDefault="001378F1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Согласно с Байесовским информационным критерием или ВIС, выбирается та модель, которая минимизирует следующее выражение </w:t>
      </w:r>
    </w:p>
    <w:p w:rsidR="00000000" w:rsidRDefault="001378F1">
      <w:pPr>
        <w:ind w:firstLine="709"/>
        <w:rPr>
          <w:sz w:val="28"/>
          <w:szCs w:val="28"/>
        </w:rPr>
      </w:pPr>
    </w:p>
    <w:p w:rsidR="00000000" w:rsidRDefault="0083139E">
      <w:pPr>
        <w:ind w:firstLine="709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728470" cy="422275"/>
            <wp:effectExtent l="19050" t="0" r="508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470" cy="42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sz w:val="28"/>
          <w:szCs w:val="28"/>
        </w:rPr>
      </w:pPr>
    </w:p>
    <w:p w:rsidR="00000000" w:rsidRDefault="001378F1">
      <w:pPr>
        <w:ind w:firstLine="709"/>
        <w:rPr>
          <w:sz w:val="28"/>
          <w:szCs w:val="28"/>
        </w:rPr>
      </w:pPr>
      <w:r>
        <w:rPr>
          <w:sz w:val="28"/>
          <w:szCs w:val="28"/>
        </w:rPr>
        <w:t>Второе слагаемое в формулах АІС и ВIС - это "штрафной фактор", который учитывает привлечение к модели дополнительных параметров. Критерий ВIС налагает более ограничений на количество параметров сравнительно с критерием АІ</w:t>
      </w:r>
      <w:r>
        <w:rPr>
          <w:sz w:val="28"/>
          <w:szCs w:val="28"/>
        </w:rPr>
        <w:t>С. Потому минимизация критерия ВIС при выборе модели всегда дает количество параметров, не превышающее количество, установленное согласно с критерием АІС. Часто оба критерия дают одинаковый результат. Критерии АІС и ВIС следует рассматривать как дополнител</w:t>
      </w:r>
      <w:r>
        <w:rPr>
          <w:sz w:val="28"/>
          <w:szCs w:val="28"/>
        </w:rPr>
        <w:t>ьные процедуры, призванные помочь при окончательном выборе модели. Они не в состоянии полностью заменить внимательное изучение поведения выборочных коэффициентов автокорреляции и частичной автокорреляции.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.2 Многофакторная регрессионная модель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Функцией и</w:t>
      </w:r>
      <w:r>
        <w:rPr>
          <w:sz w:val="28"/>
          <w:szCs w:val="28"/>
        </w:rPr>
        <w:t>ли уравнением регрессии называется "функция, позволяющая по средней величине одного признака определить среднюю величину другого признака, корреляционно связанного с первым" [12]. Такая функция позволяет математически интерпретировать взаимосвязь между пар</w:t>
      </w:r>
      <w:r>
        <w:rPr>
          <w:sz w:val="28"/>
          <w:szCs w:val="28"/>
        </w:rPr>
        <w:t>аметрами. Регрессионный анализ также применяется для построения прогноза некоторого фактора на основе уравнения регрессии (в случае если между зависимой и некоторым набором независимых переменных имеется линейная связь).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При выведение уравнения регрессии п</w:t>
      </w:r>
      <w:r>
        <w:rPr>
          <w:sz w:val="28"/>
          <w:szCs w:val="28"/>
        </w:rPr>
        <w:t xml:space="preserve">редполагается, что исследуется связь среднего уровня некоторой случайной величины </w:t>
      </w:r>
      <w:r>
        <w:rPr>
          <w:i/>
          <w:iCs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 от ряда переменных </w:t>
      </w:r>
      <w:r>
        <w:rPr>
          <w:i/>
          <w:iCs/>
          <w:sz w:val="28"/>
          <w:szCs w:val="28"/>
          <w:lang w:val="en-US"/>
        </w:rPr>
        <w:t>xj</w:t>
      </w:r>
      <w:r>
        <w:rPr>
          <w:sz w:val="28"/>
          <w:szCs w:val="28"/>
        </w:rPr>
        <w:t xml:space="preserve"> (</w:t>
      </w:r>
      <w:r>
        <w:rPr>
          <w:i/>
          <w:iCs/>
          <w:sz w:val="28"/>
          <w:szCs w:val="28"/>
        </w:rPr>
        <w:t xml:space="preserve">j = 1, 2,.., </w:t>
      </w:r>
      <w:r>
        <w:rPr>
          <w:i/>
          <w:iCs/>
          <w:sz w:val="28"/>
          <w:szCs w:val="28"/>
          <w:lang w:val="en-US"/>
        </w:rPr>
        <w:t>k</w:t>
      </w:r>
      <w:r>
        <w:rPr>
          <w:sz w:val="28"/>
          <w:szCs w:val="28"/>
        </w:rPr>
        <w:t>), которые представляют собой неслучайные величины. Также предполагается, что зависимая переменная имеет нормальное распределение с усл</w:t>
      </w:r>
      <w:r>
        <w:rPr>
          <w:sz w:val="28"/>
          <w:szCs w:val="28"/>
        </w:rPr>
        <w:t>овным математическим ожиданием и постоянством дисперсии, которая не зависит от аргументов. Общий вид модели линейной регрессии: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ind w:firstLine="709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240915" cy="271145"/>
            <wp:effectExtent l="19050" t="0" r="698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915" cy="271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240915" cy="271145"/>
            <wp:effectExtent l="19050" t="0" r="698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915" cy="271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>,</w:t>
      </w:r>
    </w:p>
    <w:p w:rsidR="00000000" w:rsidRDefault="001378F1">
      <w:pPr>
        <w:ind w:firstLine="709"/>
        <w:rPr>
          <w:sz w:val="28"/>
          <w:szCs w:val="28"/>
        </w:rPr>
      </w:pPr>
    </w:p>
    <w:p w:rsidR="00000000" w:rsidRDefault="001378F1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rFonts w:ascii="Times New Roman" w:hAnsi="Times New Roman" w:cs="Times New Roman"/>
          <w:sz w:val="28"/>
          <w:szCs w:val="28"/>
          <w:lang w:val="en-US"/>
        </w:rPr>
        <w:t>φj</w:t>
      </w:r>
      <w:r>
        <w:rPr>
          <w:sz w:val="28"/>
          <w:szCs w:val="28"/>
        </w:rPr>
        <w:t xml:space="preserve"> - некоторая функция от заданных параметров, а</w:t>
      </w:r>
      <w:r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ε</w:t>
      </w:r>
      <w:r>
        <w:rPr>
          <w:sz w:val="28"/>
          <w:szCs w:val="28"/>
        </w:rPr>
        <w:t xml:space="preserve"> - случайная величина с нулевым математическим ожиданием и дисперсией </w:t>
      </w:r>
      <w:r>
        <w:rPr>
          <w:rFonts w:ascii="Times New Roman" w:hAnsi="Times New Roman" w:cs="Times New Roman"/>
          <w:sz w:val="28"/>
          <w:szCs w:val="28"/>
          <w:lang w:val="en-US"/>
        </w:rPr>
        <w:t>σ</w:t>
      </w:r>
      <w:r>
        <w:rPr>
          <w:sz w:val="28"/>
          <w:szCs w:val="28"/>
        </w:rPr>
        <w:t>2.</w:t>
      </w:r>
    </w:p>
    <w:p w:rsidR="00000000" w:rsidRDefault="001378F1">
      <w:pPr>
        <w:ind w:firstLine="709"/>
        <w:rPr>
          <w:sz w:val="28"/>
          <w:szCs w:val="28"/>
        </w:rPr>
      </w:pPr>
      <w:r>
        <w:rPr>
          <w:sz w:val="28"/>
          <w:szCs w:val="28"/>
        </w:rPr>
        <w:t>В дальнейшем будет рассматриваться множественный регрессионный анализ, т.е. будет изучаться зависимость целевой переменной от нескольких параметров.</w:t>
      </w:r>
    </w:p>
    <w:p w:rsidR="00000000" w:rsidRDefault="001378F1">
      <w:pPr>
        <w:ind w:firstLine="709"/>
        <w:rPr>
          <w:b/>
          <w:bCs/>
          <w:sz w:val="28"/>
          <w:szCs w:val="28"/>
        </w:rPr>
      </w:pPr>
      <w:r>
        <w:rPr>
          <w:sz w:val="28"/>
          <w:szCs w:val="28"/>
        </w:rPr>
        <w:t>Чтобы оценить значимость того и</w:t>
      </w:r>
      <w:r>
        <w:rPr>
          <w:sz w:val="28"/>
          <w:szCs w:val="28"/>
        </w:rPr>
        <w:t>ли иного коэффициента линейной регрессии, используется t-критерий Стьюдента.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1)</w:t>
      </w:r>
      <w:r>
        <w:rPr>
          <w:sz w:val="28"/>
          <w:szCs w:val="28"/>
        </w:rPr>
        <w:tab/>
        <w:t>Для проверки значимости выдвигается гипотеза H0 о статистической незначимости коэффициента уравнения регрессии;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</w:t>
      </w:r>
      <w:r>
        <w:rPr>
          <w:sz w:val="28"/>
          <w:szCs w:val="28"/>
        </w:rPr>
        <w:tab/>
        <w:t>Производится вычисление значение t-критерия фактического (tфа</w:t>
      </w:r>
      <w:r>
        <w:rPr>
          <w:sz w:val="28"/>
          <w:szCs w:val="28"/>
        </w:rPr>
        <w:t xml:space="preserve">кт) и с помощью таблицы </w:t>
      </w:r>
      <w:r>
        <w:rPr>
          <w:sz w:val="28"/>
          <w:szCs w:val="28"/>
          <w:lang w:val="en-GB"/>
        </w:rPr>
        <w:t>t</w:t>
      </w:r>
      <w:r>
        <w:rPr>
          <w:sz w:val="28"/>
          <w:szCs w:val="28"/>
        </w:rPr>
        <w:t>-распределения Стьюдента определяется табличное (критическое) значение t-критерия (tтабл);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)</w:t>
      </w:r>
      <w:r>
        <w:rPr>
          <w:sz w:val="28"/>
          <w:szCs w:val="28"/>
        </w:rPr>
        <w:tab/>
        <w:t xml:space="preserve">Далее необходимо проверить условие | tфакт | </w:t>
      </w:r>
      <w:r>
        <w:rPr>
          <w:sz w:val="28"/>
          <w:szCs w:val="28"/>
        </w:rPr>
        <w:t>≤</w:t>
      </w:r>
      <w:r>
        <w:rPr>
          <w:sz w:val="28"/>
          <w:szCs w:val="28"/>
        </w:rPr>
        <w:t xml:space="preserve"> tтабл. Если условие выполняется, то нулевая гипотеза H0 подтверждается, коэффициент уравнен</w:t>
      </w:r>
      <w:r>
        <w:rPr>
          <w:sz w:val="28"/>
          <w:szCs w:val="28"/>
        </w:rPr>
        <w:t>ия регрессии статистически незначим (коэффициент недостоверен, равен нулю). Если | tфакт | &gt; tтабл, то гипотеза H0 опровергается, статистическая значимость коэффициента признается.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Формулы для вычисления величин t</w:t>
      </w:r>
      <w:r>
        <w:rPr>
          <w:sz w:val="28"/>
          <w:szCs w:val="28"/>
          <w:lang w:val="en-GB"/>
        </w:rPr>
        <w:t>b</w:t>
      </w:r>
      <w:r>
        <w:rPr>
          <w:sz w:val="28"/>
          <w:szCs w:val="28"/>
        </w:rPr>
        <w:t>,факт, t</w:t>
      </w:r>
      <w:r>
        <w:rPr>
          <w:sz w:val="28"/>
          <w:szCs w:val="28"/>
          <w:lang w:val="en-GB"/>
        </w:rPr>
        <w:t>a</w:t>
      </w:r>
      <w:r>
        <w:rPr>
          <w:sz w:val="28"/>
          <w:szCs w:val="28"/>
        </w:rPr>
        <w:t>,факт: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783205" cy="61277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61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где Sa и Sb - стандартные ошибки коэффициентов регрессии, которые вычисляются по формулам: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778635" cy="81407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635" cy="814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114675" cy="914400"/>
            <wp:effectExtent l="1905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</w:rPr>
        <w:t>ŷ</w:t>
      </w:r>
      <w:r>
        <w:rPr>
          <w:sz w:val="28"/>
          <w:szCs w:val="28"/>
        </w:rPr>
        <w:t xml:space="preserve">i - вычисленные значения зависимой переменной, yi - фактические значения объясняемой переменной, n - объем выборки, xi - фактические значения предикатора,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00330" cy="23114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00330" cy="23114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- средняя величина фактических значений предикаторов.</w:t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Проверка автокорреляции</w:t>
      </w:r>
    </w:p>
    <w:p w:rsidR="00000000" w:rsidRDefault="001378F1">
      <w:pPr>
        <w:ind w:firstLine="709"/>
        <w:rPr>
          <w:sz w:val="28"/>
          <w:szCs w:val="28"/>
        </w:rPr>
      </w:pPr>
      <w:r>
        <w:rPr>
          <w:sz w:val="28"/>
          <w:szCs w:val="28"/>
        </w:rPr>
        <w:t>Для тестирования автокорреляции первого порядка элементов исследуемой последовательности используется статистический критерий, известный как критерий Дарбина-Уотсон</w:t>
      </w:r>
      <w:r>
        <w:rPr>
          <w:sz w:val="28"/>
          <w:szCs w:val="28"/>
        </w:rPr>
        <w:t>а (или DW-критерий).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Критерий назван в честь Джеффри Уотсона и Джеймса Дарбина. Вычисляется критерий Дарбина-Уотсона по следующей формуле:</w:t>
      </w: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039235" cy="1788795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235" cy="1788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50495" cy="120650"/>
            <wp:effectExtent l="19050" t="0" r="190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" cy="12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- коэффициент автокорреляции первого п</w:t>
      </w:r>
      <w:r>
        <w:rPr>
          <w:sz w:val="28"/>
          <w:szCs w:val="28"/>
        </w:rPr>
        <w:t>орядка.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Принято считать, что в модели регрессии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055370" cy="24130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5370" cy="24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 xml:space="preserve">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ошибки распределены как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165860" cy="150495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860" cy="15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 xml:space="preserve">,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30810" cy="110490"/>
            <wp:effectExtent l="1905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10" cy="110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специфицировано, как белый шум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743585" cy="20066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85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 xml:space="preserve">, </w:t>
      </w: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356360" cy="45212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360" cy="45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 xml:space="preserve">,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386840" cy="200660"/>
            <wp:effectExtent l="1905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6840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, где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12445" cy="191135"/>
            <wp:effectExtent l="19050" t="0" r="190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случае наличия положительной автокорреляции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51790" cy="130810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90" cy="13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стремится к нулю</w:t>
      </w:r>
      <w:r>
        <w:rPr>
          <w:noProof/>
          <w:sz w:val="28"/>
          <w:szCs w:val="28"/>
        </w:rPr>
        <w:t xml:space="preserve">, при ее отсутствии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693420" cy="130810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13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;, а при отрицательной - критерий стремится к 4: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617980" cy="703580"/>
            <wp:effectExtent l="19050" t="0" r="127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980" cy="703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 xml:space="preserve">Применение критерия Дарбина-Уотсона на практике реализуется при сопоставлении величины </w:t>
      </w:r>
      <w:r>
        <w:rPr>
          <w:noProof/>
          <w:sz w:val="28"/>
          <w:szCs w:val="28"/>
        </w:rPr>
        <w:t>DW</w:t>
      </w:r>
      <w:r>
        <w:rPr>
          <w:sz w:val="28"/>
          <w:szCs w:val="28"/>
        </w:rPr>
        <w:t xml:space="preserve"> с тобличными значениями </w:t>
      </w:r>
      <w:r>
        <w:rPr>
          <w:noProof/>
          <w:sz w:val="28"/>
          <w:szCs w:val="28"/>
        </w:rPr>
        <w:t>dL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GB"/>
        </w:rPr>
        <w:t>dU</w:t>
      </w:r>
      <w:r>
        <w:rPr>
          <w:sz w:val="28"/>
          <w:szCs w:val="28"/>
        </w:rPr>
        <w:t xml:space="preserve"> для заданного числа наблюдени</w:t>
      </w:r>
      <w:r>
        <w:rPr>
          <w:sz w:val="28"/>
          <w:szCs w:val="28"/>
        </w:rPr>
        <w:t xml:space="preserve">й </w:t>
      </w:r>
      <w:r>
        <w:rPr>
          <w:noProof/>
          <w:sz w:val="28"/>
          <w:szCs w:val="28"/>
        </w:rPr>
        <w:t>n</w:t>
      </w:r>
      <w:r>
        <w:rPr>
          <w:sz w:val="28"/>
          <w:szCs w:val="28"/>
        </w:rPr>
        <w:t xml:space="preserve">, числа независимых переменных модели </w:t>
      </w:r>
      <w:r>
        <w:rPr>
          <w:noProof/>
          <w:sz w:val="28"/>
          <w:szCs w:val="28"/>
        </w:rPr>
        <w:t>k</w:t>
      </w:r>
      <w:r>
        <w:rPr>
          <w:sz w:val="28"/>
          <w:szCs w:val="28"/>
        </w:rPr>
        <w:t xml:space="preserve"> и уровня значимости</w:t>
      </w:r>
      <w:r>
        <w:rPr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α.</w:t>
      </w:r>
    </w:p>
    <w:p w:rsidR="00000000" w:rsidRDefault="001378F1">
      <w:pPr>
        <w:shd w:val="clear" w:color="auto" w:fill="FFFFFF"/>
        <w:tabs>
          <w:tab w:val="left" w:pos="720"/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>
        <w:rPr>
          <w:sz w:val="28"/>
          <w:szCs w:val="28"/>
        </w:rPr>
        <w:tab/>
        <w:t xml:space="preserve">Если </w:t>
      </w:r>
      <w:r>
        <w:rPr>
          <w:sz w:val="28"/>
          <w:szCs w:val="28"/>
          <w:lang w:val="en-GB"/>
        </w:rPr>
        <w:t>DW</w:t>
      </w:r>
      <w:r>
        <w:rPr>
          <w:sz w:val="28"/>
          <w:szCs w:val="28"/>
        </w:rPr>
        <w:t xml:space="preserve"> &lt; </w:t>
      </w:r>
      <w:r>
        <w:rPr>
          <w:noProof/>
          <w:sz w:val="28"/>
          <w:szCs w:val="28"/>
        </w:rPr>
        <w:t>dL</w:t>
      </w:r>
      <w:r>
        <w:rPr>
          <w:sz w:val="28"/>
          <w:szCs w:val="28"/>
        </w:rPr>
        <w:t>, то гипотеза о независимости случайных отклонений отвергается (равносильно наличию положительная автокорреляция);</w:t>
      </w:r>
    </w:p>
    <w:p w:rsidR="00000000" w:rsidRDefault="001378F1">
      <w:pPr>
        <w:shd w:val="clear" w:color="auto" w:fill="FFFFFF"/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>
        <w:rPr>
          <w:sz w:val="28"/>
          <w:szCs w:val="28"/>
        </w:rPr>
        <w:tab/>
        <w:t xml:space="preserve">Если </w:t>
      </w:r>
      <w:r>
        <w:rPr>
          <w:noProof/>
          <w:sz w:val="28"/>
          <w:szCs w:val="28"/>
        </w:rPr>
        <w:t xml:space="preserve">DW &gt; </w:t>
      </w:r>
      <w:r>
        <w:rPr>
          <w:sz w:val="28"/>
          <w:szCs w:val="28"/>
          <w:lang w:val="en-GB"/>
        </w:rPr>
        <w:t>dU</w:t>
      </w:r>
      <w:r>
        <w:rPr>
          <w:sz w:val="28"/>
          <w:szCs w:val="28"/>
        </w:rPr>
        <w:t>, то гипотеза не отвергается;</w:t>
      </w:r>
    </w:p>
    <w:p w:rsidR="00000000" w:rsidRDefault="001378F1">
      <w:pPr>
        <w:shd w:val="clear" w:color="auto" w:fill="FFFFFF"/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 xml:space="preserve">Если </w:t>
      </w:r>
      <w:r>
        <w:rPr>
          <w:noProof/>
          <w:sz w:val="28"/>
          <w:szCs w:val="28"/>
        </w:rPr>
        <w:t>dL</w:t>
      </w:r>
      <w:r>
        <w:rPr>
          <w:sz w:val="28"/>
          <w:szCs w:val="28"/>
        </w:rPr>
        <w:t xml:space="preserve"> &lt; </w:t>
      </w:r>
      <w:r>
        <w:rPr>
          <w:sz w:val="28"/>
          <w:szCs w:val="28"/>
          <w:lang w:val="en-GB"/>
        </w:rPr>
        <w:t>DW</w:t>
      </w:r>
      <w:r>
        <w:rPr>
          <w:sz w:val="28"/>
          <w:szCs w:val="28"/>
        </w:rPr>
        <w:t xml:space="preserve"> &lt; </w:t>
      </w:r>
      <w:r>
        <w:rPr>
          <w:sz w:val="28"/>
          <w:szCs w:val="28"/>
          <w:lang w:val="en-GB"/>
        </w:rPr>
        <w:t>dU</w:t>
      </w:r>
      <w:r>
        <w:rPr>
          <w:sz w:val="28"/>
          <w:szCs w:val="28"/>
        </w:rPr>
        <w:t>, то оснований для принятия решений недостаточно.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тех случаях, когда </w:t>
      </w:r>
      <w:r>
        <w:rPr>
          <w:noProof/>
          <w:sz w:val="28"/>
          <w:szCs w:val="28"/>
        </w:rPr>
        <w:t>DW</w:t>
      </w:r>
      <w:r>
        <w:rPr>
          <w:sz w:val="28"/>
          <w:szCs w:val="28"/>
        </w:rPr>
        <w:t xml:space="preserve"> превышает 2, с </w:t>
      </w:r>
      <w:r>
        <w:rPr>
          <w:noProof/>
          <w:sz w:val="28"/>
          <w:szCs w:val="28"/>
        </w:rPr>
        <w:t>dL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GB"/>
        </w:rPr>
        <w:t>dU</w:t>
      </w:r>
      <w:r>
        <w:rPr>
          <w:sz w:val="28"/>
          <w:szCs w:val="28"/>
        </w:rPr>
        <w:t xml:space="preserve"> необходимо сравнивать выражение </w:t>
      </w:r>
      <w:r>
        <w:rPr>
          <w:noProof/>
          <w:sz w:val="28"/>
          <w:szCs w:val="28"/>
        </w:rPr>
        <w:t>(4 - DW)</w:t>
      </w:r>
      <w:r>
        <w:rPr>
          <w:sz w:val="28"/>
          <w:szCs w:val="28"/>
        </w:rPr>
        <w:t xml:space="preserve">, а не сам коэффициент </w:t>
      </w:r>
      <w:r>
        <w:rPr>
          <w:noProof/>
          <w:sz w:val="28"/>
          <w:szCs w:val="28"/>
        </w:rPr>
        <w:t>DW</w:t>
      </w:r>
      <w:r>
        <w:rPr>
          <w:sz w:val="28"/>
          <w:szCs w:val="28"/>
        </w:rPr>
        <w:t>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Проверка на наличие гетероскедастичности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Один из статистических критериев для проверки </w:t>
      </w:r>
      <w:r>
        <w:rPr>
          <w:sz w:val="28"/>
          <w:szCs w:val="28"/>
        </w:rPr>
        <w:t xml:space="preserve">наличия гетероскедастичности (то есть непостоянной дисперсии) случайных ошибок модели линейной регрессии - Критерий Бройша-Пагана. Применяется, если есть основания полагать, что дисперсия ошибок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50495" cy="130810"/>
            <wp:effectExtent l="19050" t="0" r="190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" cy="13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может зависеть от некото</w:t>
      </w:r>
      <w:r>
        <w:rPr>
          <w:sz w:val="28"/>
          <w:szCs w:val="28"/>
        </w:rPr>
        <w:t>рой совокупности наблюдаемых переменных: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597660" cy="220980"/>
            <wp:effectExtent l="0" t="0" r="254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660" cy="22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 xml:space="preserve">, где </w:t>
      </w: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527175" cy="260985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175" cy="260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>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Проверяемая гипотеза сформулирована следующим образом: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205480" cy="231140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480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>остатки гомоскедастичны;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Альтернативная ги</w:t>
      </w:r>
      <w:r>
        <w:rPr>
          <w:sz w:val="28"/>
          <w:szCs w:val="28"/>
        </w:rPr>
        <w:t>потеза:</w:t>
      </w: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612775" cy="150495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75" cy="15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 xml:space="preserve"> неверна (остатки гетероскедастичны).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Процедуру вычисления статистики можно описать следующими шагами.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lastRenderedPageBreak/>
        <w:t>1)</w:t>
      </w:r>
      <w:r>
        <w:rPr>
          <w:sz w:val="28"/>
          <w:szCs w:val="28"/>
        </w:rPr>
        <w:t xml:space="preserve"> Начальная модель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763905" cy="160655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16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 xml:space="preserve">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оценивается стандартным методом наименьших квадрат</w:t>
      </w:r>
      <w:r>
        <w:rPr>
          <w:sz w:val="28"/>
          <w:szCs w:val="28"/>
        </w:rPr>
        <w:t xml:space="preserve">ов (МНК), определяются остатки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50495" cy="130810"/>
            <wp:effectExtent l="19050" t="0" r="190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" cy="13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2) </w:t>
      </w:r>
      <w:r>
        <w:rPr>
          <w:sz w:val="28"/>
          <w:szCs w:val="28"/>
        </w:rPr>
        <w:t xml:space="preserve">Предположив гомоскедастичность модели, дисперсия ее ошибки вычисляется как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914400" cy="220980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2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>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 xml:space="preserve"> Вычисляются стандартизированные остатки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31140" cy="281305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40" cy="281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4)</w:t>
      </w:r>
      <w:r>
        <w:rPr>
          <w:sz w:val="28"/>
          <w:szCs w:val="28"/>
        </w:rPr>
        <w:t xml:space="preserve"> Производится построение дополнительной регрессия квадратов стандартизированных ошибок на начальные значения предикторов: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361565" cy="231140"/>
            <wp:effectExtent l="19050" t="0" r="63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565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78F1">
        <w:rPr>
          <w:sz w:val="28"/>
          <w:szCs w:val="28"/>
        </w:rPr>
        <w:t>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)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833755" cy="150495"/>
            <wp:effectExtent l="19050" t="0" r="444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755" cy="15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, 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31140" cy="150495"/>
            <wp:effectExtent l="1905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40" cy="15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- коэффициент детерминации построенной на предыдущем этапе регрессии.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статистика критерия имеет распределение хи-квадрат с </w:t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01625" cy="150495"/>
            <wp:effectExtent l="19050" t="0" r="317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" cy="15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степенями свободы, то гипотеза о гомоскедастичности остатков подтв</w:t>
      </w:r>
      <w:r>
        <w:rPr>
          <w:sz w:val="28"/>
          <w:szCs w:val="28"/>
        </w:rPr>
        <w:t>ерждается.</w:t>
      </w:r>
    </w:p>
    <w:p w:rsidR="00000000" w:rsidRDefault="001378F1">
      <w:pPr>
        <w:shd w:val="clear" w:color="auto" w:fill="FFFFFF"/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Проверка качества модели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Проверка адекватности модели или, другими словами, тестирование значимости объясняющей переменной </w:t>
      </w:r>
      <w:r>
        <w:rPr>
          <w:sz w:val="28"/>
          <w:szCs w:val="28"/>
          <w:lang w:val="en-GB"/>
        </w:rPr>
        <w:t>X</w:t>
      </w:r>
      <w:r>
        <w:rPr>
          <w:sz w:val="28"/>
          <w:szCs w:val="28"/>
        </w:rPr>
        <w:t xml:space="preserve"> проводится по критерию Фишера. Другими словами, проверяется, значимо ли влияние предикатора X влияет на </w:t>
      </w:r>
      <w:r>
        <w:rPr>
          <w:sz w:val="28"/>
          <w:szCs w:val="28"/>
        </w:rPr>
        <w:lastRenderedPageBreak/>
        <w:t>значение объясня</w:t>
      </w:r>
      <w:r>
        <w:rPr>
          <w:sz w:val="28"/>
          <w:szCs w:val="28"/>
        </w:rPr>
        <w:t>емой переменной Y.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Используя суммы квадратов отклонений, вычислим F-критерий Фишера по формуле: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130425" cy="683260"/>
            <wp:effectExtent l="19050" t="0" r="317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425" cy="68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учете степеней свободы расчетная формула для вычисления критерия Фишера выглядит следующим образом: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491740" cy="723265"/>
            <wp:effectExtent l="19050" t="0" r="381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740" cy="723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где m, (n-m-1) - число степеней свободы числителя и знаменателя зависимости соответственно; n - количество наблюдений; m - количество предикторов.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Тестирование значимости переменной X по критерию Фишера состоит из следующих этапов: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Ф</w:t>
      </w:r>
      <w:r>
        <w:rPr>
          <w:sz w:val="28"/>
          <w:szCs w:val="28"/>
        </w:rPr>
        <w:t xml:space="preserve">ормулируем нулевую гипотезу H: </w:t>
      </w:r>
      <w:r>
        <w:rPr>
          <w:rFonts w:ascii="Times New Roman" w:hAnsi="Times New Roman" w:cs="Times New Roman"/>
          <w:sz w:val="28"/>
          <w:szCs w:val="28"/>
        </w:rPr>
        <w:t>β1=0;</w:t>
      </w:r>
    </w:p>
    <w:p w:rsidR="00000000" w:rsidRDefault="001378F1">
      <w:pPr>
        <w:suppressAutoHyphen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>2.</w:t>
      </w:r>
      <w:r>
        <w:rPr>
          <w:sz w:val="28"/>
          <w:szCs w:val="28"/>
        </w:rPr>
        <w:tab/>
        <w:t xml:space="preserve">Принимаем вероятность ошибки (уровень значимости) </w:t>
      </w:r>
      <w:r>
        <w:rPr>
          <w:rFonts w:ascii="Times New Roman" w:hAnsi="Times New Roman" w:cs="Times New Roman"/>
          <w:sz w:val="28"/>
          <w:szCs w:val="28"/>
        </w:rPr>
        <w:t>α (5%);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>
        <w:rPr>
          <w:sz w:val="28"/>
          <w:szCs w:val="28"/>
        </w:rPr>
        <w:tab/>
        <w:t>Производим вычисления F-отношения;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Из таблицы F-распределения Фишера определяем величину F-критическое при заданном уровне значимости (или ошибки) и по с</w:t>
      </w:r>
      <w:r>
        <w:rPr>
          <w:sz w:val="28"/>
          <w:szCs w:val="28"/>
        </w:rPr>
        <w:t>тепеням свободы f1 и f2;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Если Fфакт &lt; Fтабл то гипотезу о незначимости предикатора отклоняем с 5%-ным риском ошибиться, где Fтабл - значение F при 5%-ном риске ошибки.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Значение Fтабл определяют по специальным таблицам в зависимости от степеней свободы f1</w:t>
      </w:r>
      <w:r>
        <w:rPr>
          <w:sz w:val="28"/>
          <w:szCs w:val="28"/>
        </w:rPr>
        <w:t xml:space="preserve"> и f2: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f1=(n-m-1), f2=(n-1).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Если неравенство Fфакт &gt; Fтабл справедливо, то можно сделать заключение об адекватности построенной модели, следовательно линейная связь между предикатором и объясняемой переменной допустима.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Итоговое оценочное значение каче</w:t>
      </w:r>
      <w:r>
        <w:rPr>
          <w:sz w:val="28"/>
          <w:szCs w:val="28"/>
        </w:rPr>
        <w:t>ства модели отражается в коэффициент детерминации R</w:t>
      </w:r>
      <w:r>
        <w:rPr>
          <w:rFonts w:ascii="Times New Roman" w:hAnsi="Times New Roman" w:cs="Times New Roman"/>
          <w:sz w:val="28"/>
          <w:szCs w:val="28"/>
        </w:rPr>
        <w:t xml:space="preserve">². </w:t>
      </w:r>
      <w:r>
        <w:rPr>
          <w:sz w:val="28"/>
          <w:szCs w:val="28"/>
        </w:rPr>
        <w:t>Если регрессия является парной, коэффициент детерминации будет совпадать с квадратом коэффициента корреляции: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472055" cy="673100"/>
            <wp:effectExtent l="19050" t="0" r="444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055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где u</w:t>
      </w:r>
      <w:r>
        <w:rPr>
          <w:rFonts w:ascii="Times New Roman" w:hAnsi="Times New Roman" w:cs="Times New Roman"/>
          <w:sz w:val="28"/>
          <w:szCs w:val="28"/>
        </w:rPr>
        <w:t>²</w:t>
      </w:r>
      <w:r>
        <w:rPr>
          <w:sz w:val="28"/>
          <w:szCs w:val="28"/>
          <w:vertAlign w:val="subscript"/>
        </w:rPr>
        <w:t>i</w:t>
      </w:r>
      <w:r>
        <w:rPr>
          <w:sz w:val="28"/>
          <w:szCs w:val="28"/>
        </w:rPr>
        <w:t xml:space="preserve"> - разница между исходным значением Y и предск</w:t>
      </w:r>
      <w:r>
        <w:rPr>
          <w:sz w:val="28"/>
          <w:szCs w:val="28"/>
        </w:rPr>
        <w:t>азанным значением с помощью построенной модели.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Коэффициент детерминации определяет долю разброса объясняемой переменной, которая определяется регрессией Y на X; дробное отношение определяет составляющую часть разброса объясняемой переменной, которая не оп</w:t>
      </w:r>
      <w:r>
        <w:rPr>
          <w:sz w:val="28"/>
          <w:szCs w:val="28"/>
        </w:rPr>
        <w:t>ределяется регрессией.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общего случая корректным является соотношение 0</w:t>
      </w:r>
      <w:r>
        <w:rPr>
          <w:sz w:val="28"/>
          <w:szCs w:val="28"/>
        </w:rPr>
        <w:t>≤</w:t>
      </w:r>
      <w:r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R²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≤</w:t>
      </w:r>
      <w:r>
        <w:rPr>
          <w:sz w:val="28"/>
          <w:szCs w:val="28"/>
        </w:rPr>
        <w:t>1. Чем ближе коэффициент детерминации к единице, тем сильнее линейная связь между X и Y. Чем связь слабее, тем R</w:t>
      </w:r>
      <w:r>
        <w:rPr>
          <w:rFonts w:ascii="Times New Roman" w:hAnsi="Times New Roman" w:cs="Times New Roman"/>
          <w:sz w:val="28"/>
          <w:szCs w:val="28"/>
        </w:rPr>
        <w:t xml:space="preserve">² </w:t>
      </w:r>
      <w:r>
        <w:rPr>
          <w:sz w:val="28"/>
          <w:szCs w:val="28"/>
        </w:rPr>
        <w:t>ближе к нулю.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Средняя ошибка аппроксимации - еще одно средство</w:t>
      </w:r>
      <w:r>
        <w:rPr>
          <w:sz w:val="28"/>
          <w:szCs w:val="28"/>
        </w:rPr>
        <w:t xml:space="preserve"> оценки уравнения регрессии является.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Фактические значения результативного признака отличаются от теоретических, вычисленных по уравнению регрессии, т.е. y и yx. Чем меньше эта разность, тем теснее теоретические значения к эмпирическим данным, качество мод</w:t>
      </w:r>
      <w:r>
        <w:rPr>
          <w:sz w:val="28"/>
          <w:szCs w:val="28"/>
        </w:rPr>
        <w:t>ели лучше.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Средняя ошибка аппроксимации рассчитывается по следующей формуле:</w:t>
      </w: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2059940" cy="46228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940" cy="462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качественно построенных моделей, величина этого показателя не должно превышать 10%.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Глава 3. Построение моделей прогнозирования цены на</w:t>
      </w:r>
      <w:r>
        <w:rPr>
          <w:b/>
          <w:bCs/>
          <w:sz w:val="28"/>
          <w:szCs w:val="28"/>
        </w:rPr>
        <w:t xml:space="preserve"> недвижимость в регионах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данной главе рассматривается построение моделей прогнозирования средней цены на первичном рынке жилой недвижимости для ряда регионов. Для исследования было отобрано 3 крупнейших по численности населения субъекта Центрального фед</w:t>
      </w:r>
      <w:r>
        <w:rPr>
          <w:sz w:val="28"/>
          <w:szCs w:val="28"/>
        </w:rPr>
        <w:t>ерального округа: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Белгородская область;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Воронежская область;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Тульская область.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прогнозирования используются два вида моделей: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 xml:space="preserve">Модель авторегрессии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>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Многофакторная регрессия.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.1 Построение </w:t>
      </w:r>
      <w:r>
        <w:rPr>
          <w:b/>
          <w:bCs/>
          <w:sz w:val="28"/>
          <w:szCs w:val="28"/>
          <w:lang w:val="en-US"/>
        </w:rPr>
        <w:t>ARIMA</w:t>
      </w:r>
      <w:r>
        <w:rPr>
          <w:b/>
          <w:bCs/>
          <w:sz w:val="28"/>
          <w:szCs w:val="28"/>
        </w:rPr>
        <w:t>-моделей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Далее речь пойдет о применение м</w:t>
      </w:r>
      <w:r>
        <w:rPr>
          <w:sz w:val="28"/>
          <w:szCs w:val="28"/>
        </w:rPr>
        <w:t xml:space="preserve">одели авторегрессии, а именно - модель проинтегрированного скользящего среднего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>. Модель данного типа является довольно гибкой, а также позволяет давать весьма точные прогнозы за счет учета предыдущих элементов и прогнозных ошибок временного ряда. Нео</w:t>
      </w:r>
      <w:r>
        <w:rPr>
          <w:sz w:val="28"/>
          <w:szCs w:val="28"/>
        </w:rPr>
        <w:t xml:space="preserve">бходимо отметить, что применение такой модели возможно как для стационарных, так и нестационарных рядов. Кроме того, проверка адекватности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модели весьма проста.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Построение моделей производится на основе данных средней цены 1 кв.м. общей площади на пе</w:t>
      </w:r>
      <w:r>
        <w:rPr>
          <w:sz w:val="28"/>
          <w:szCs w:val="28"/>
        </w:rPr>
        <w:t>рвичном рынке жилья регионов из открытого источника Федеральной службы государственной статистики. Для каждого из регионов строится отдельная модель. Временной промежуток - с 2000 по 2014 гг. Данные представлены поквартальными значениями показателя цены.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br w:type="page"/>
      </w:r>
      <w:r>
        <w:rPr>
          <w:b/>
          <w:bCs/>
          <w:sz w:val="28"/>
          <w:szCs w:val="28"/>
        </w:rPr>
        <w:lastRenderedPageBreak/>
        <w:t>3.1.1 Модель средней цены Белгородской области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первую очередь необходимо проверить временной ряд на стационарность и сезонность.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Стационарность проверяется за счет тестирования уравнения на единичный корень - тест Дики-Фуллера. Результат теста представле</w:t>
      </w:r>
      <w:r>
        <w:rPr>
          <w:sz w:val="28"/>
          <w:szCs w:val="28"/>
        </w:rPr>
        <w:t>н на Рисунке 1. Расчеты показали, что нулевая гипотеза о наличии единичного корня не отвергается (</w:t>
      </w:r>
      <w:r>
        <w:rPr>
          <w:sz w:val="28"/>
          <w:szCs w:val="28"/>
          <w:lang w:val="en-US"/>
        </w:rPr>
        <w:t>Prob</w:t>
      </w:r>
      <w:r>
        <w:rPr>
          <w:sz w:val="28"/>
          <w:szCs w:val="28"/>
        </w:rPr>
        <w:t xml:space="preserve"> &gt; 0,05), отсюда можно сделать вывод о том, что ряд не является стационарным.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119880" cy="1989455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880" cy="1989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1</w:t>
      </w:r>
      <w:r>
        <w:rPr>
          <w:i/>
          <w:iCs/>
          <w:sz w:val="28"/>
          <w:szCs w:val="28"/>
        </w:rPr>
        <w:t xml:space="preserve"> - Тест Дики-Фуллера для исхо</w:t>
      </w:r>
      <w:r>
        <w:rPr>
          <w:i/>
          <w:iCs/>
          <w:sz w:val="28"/>
          <w:szCs w:val="28"/>
        </w:rPr>
        <w:t>дного ряда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Далее для построения модели необходимо провести взятие первых разностей, чтобы привести временной ряд к стационарному виду. Для нового ряда также проведем тест Дики-Фуллера (Рисунок 2). В результате нулевая гипотеза о наличии единичного корня о</w:t>
      </w:r>
      <w:r>
        <w:rPr>
          <w:sz w:val="28"/>
          <w:szCs w:val="28"/>
        </w:rPr>
        <w:t>твергается (</w:t>
      </w:r>
      <w:r>
        <w:rPr>
          <w:sz w:val="28"/>
          <w:szCs w:val="28"/>
          <w:lang w:val="en-US"/>
        </w:rPr>
        <w:t>Prob</w:t>
      </w:r>
      <w:r>
        <w:rPr>
          <w:sz w:val="28"/>
          <w:szCs w:val="28"/>
        </w:rPr>
        <w:t xml:space="preserve"> &lt; 0,05), значит, теперь временной ряд стационарен.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130040" cy="2009775"/>
            <wp:effectExtent l="19050" t="0" r="381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004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2</w:t>
      </w:r>
      <w:r>
        <w:rPr>
          <w:i/>
          <w:iCs/>
          <w:sz w:val="28"/>
          <w:szCs w:val="28"/>
        </w:rPr>
        <w:t xml:space="preserve"> - Тест Дики-Фуллера для первой разности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Также стоит отметить, что с учетом взятия первых разностей, параметр порядка разности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в дальнейшем построении модели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будет равен 1.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Далее необходимо провести про</w:t>
      </w:r>
      <w:r>
        <w:rPr>
          <w:sz w:val="28"/>
          <w:szCs w:val="28"/>
        </w:rPr>
        <w:t xml:space="preserve">верку временного ряда на сезонность. Для этого будем использовать периодограмму (Рисунок 3). С учетом периодичности данных временного ряда, возникает предположение о наличии сезонной составляющей по кварталам. В таком случае на периодограмме наблюдался бы </w:t>
      </w:r>
      <w:r>
        <w:rPr>
          <w:sz w:val="28"/>
          <w:szCs w:val="28"/>
        </w:rPr>
        <w:t>пик при частоте 0,25. Отсутствие такого пика говорит о том, что сезонности по кварталам во временном ряде нет.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290695" cy="3255645"/>
            <wp:effectExtent l="1905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695" cy="3255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3</w:t>
      </w:r>
      <w:r>
        <w:rPr>
          <w:i/>
          <w:iCs/>
          <w:sz w:val="28"/>
          <w:szCs w:val="28"/>
        </w:rPr>
        <w:t xml:space="preserve"> - Периодограмма временного ряда по частоте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После проведения исследования временного ряда перейдем </w:t>
      </w:r>
      <w:r>
        <w:rPr>
          <w:sz w:val="28"/>
          <w:szCs w:val="28"/>
        </w:rPr>
        <w:t xml:space="preserve">к непосредственному построению модели. Определим параметры модели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</w:rPr>
        <w:t>):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  <w:lang w:val="en-US"/>
        </w:rPr>
        <w:t></w:t>
      </w:r>
      <w:r>
        <w:rPr>
          <w:rFonts w:ascii="Symbol" w:hAnsi="Symbol" w:cs="Symbol"/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- порядок интегрирования (как было сказано ранее, в данном случае равен 1);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  <w:lang w:val="en-US"/>
        </w:rPr>
        <w:t></w:t>
      </w:r>
      <w:r>
        <w:rPr>
          <w:rFonts w:ascii="Symbol" w:hAnsi="Symbol" w:cs="Symbol"/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 - порядок авторегрессии;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  <w:lang w:val="en-US"/>
        </w:rPr>
        <w:t></w:t>
      </w:r>
      <w:r>
        <w:rPr>
          <w:rFonts w:ascii="Symbol" w:hAnsi="Symbol" w:cs="Symbol"/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</w:rPr>
        <w:t xml:space="preserve"> - порядок скользящего среднего.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определения последних дв</w:t>
      </w:r>
      <w:r>
        <w:rPr>
          <w:sz w:val="28"/>
          <w:szCs w:val="28"/>
        </w:rPr>
        <w:t xml:space="preserve">ух параметров воспользуемся структурой автокорреляционной и частной автокорреляционной функций (Рисунок 4). Автокорреляционная функция используется для параметра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</w:rPr>
        <w:t xml:space="preserve">: его значение соответствует прямому или осциллирующему убыванию значений функции, начиная с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</w:rPr>
        <w:t xml:space="preserve">-го лага. Параметр </w:t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 определяется аналогичным образом на основе частной автокорреляционной функции.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019550" cy="4109720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410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4</w:t>
      </w:r>
      <w:r>
        <w:rPr>
          <w:i/>
          <w:iCs/>
          <w:sz w:val="28"/>
          <w:szCs w:val="28"/>
        </w:rPr>
        <w:t xml:space="preserve"> - Автокорреляционная и частная автокорреляционная функции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Исходя из поведения автокорреляционной и частной а</w:t>
      </w:r>
      <w:r>
        <w:rPr>
          <w:sz w:val="28"/>
          <w:szCs w:val="28"/>
        </w:rPr>
        <w:t>втокореляционной функций, оптимальные значения порядков авторегрессии и скользящего среднего равны 1 и 0 соответственно. Также удостоверимся в верном подборе при помощи информационных критериев Акаике и Шварца. В Таблице 1 представлены значения данных крит</w:t>
      </w:r>
      <w:r>
        <w:rPr>
          <w:sz w:val="28"/>
          <w:szCs w:val="28"/>
        </w:rPr>
        <w:t>ериев для ряда моделей.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1</w:t>
      </w:r>
      <w:r>
        <w:rPr>
          <w:i/>
          <w:iCs/>
          <w:sz w:val="28"/>
          <w:szCs w:val="28"/>
        </w:rPr>
        <w:t xml:space="preserve"> - Информационные критерии моделей </w:t>
      </w:r>
      <w:r>
        <w:rPr>
          <w:i/>
          <w:iCs/>
          <w:sz w:val="28"/>
          <w:szCs w:val="28"/>
          <w:lang w:val="en-US"/>
        </w:rPr>
        <w:t>ARIMA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194"/>
        <w:gridCol w:w="1238"/>
        <w:gridCol w:w="1238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1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Модель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AIC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SC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ARIMA (1,1,0)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16,91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16,99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ARIMA (1,1,1)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16,92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17,02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(0,1,1)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16,99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17,06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(2,1,1)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16,94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17,04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(2,1,2)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17,09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17,99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(1,1,2)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16,93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17,04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Инф</w:t>
      </w:r>
      <w:r>
        <w:rPr>
          <w:sz w:val="28"/>
          <w:szCs w:val="28"/>
        </w:rPr>
        <w:t xml:space="preserve">ормационные критерии также указывают на верный выбор параметров, модель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(1, 1, 0) имеет наименьшее из всех значение данных </w:t>
      </w:r>
      <w:r>
        <w:rPr>
          <w:sz w:val="28"/>
          <w:szCs w:val="28"/>
        </w:rPr>
        <w:lastRenderedPageBreak/>
        <w:t>критериев. После того, как были выбраны параметры модели, строим непосредственно саму модель с помощью метода максимального пра</w:t>
      </w:r>
      <w:r>
        <w:rPr>
          <w:sz w:val="28"/>
          <w:szCs w:val="28"/>
        </w:rPr>
        <w:t>вдоподобия. Результаты расчета приведены на Рисунке 5, все коэффициенты модели значимы.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149725" cy="1105535"/>
            <wp:effectExtent l="1905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725" cy="1105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5</w:t>
      </w:r>
      <w:r>
        <w:rPr>
          <w:i/>
          <w:iCs/>
          <w:sz w:val="28"/>
          <w:szCs w:val="28"/>
        </w:rPr>
        <w:t xml:space="preserve"> - Модель </w:t>
      </w:r>
      <w:r>
        <w:rPr>
          <w:i/>
          <w:iCs/>
          <w:sz w:val="28"/>
          <w:szCs w:val="28"/>
          <w:lang w:val="en-US"/>
        </w:rPr>
        <w:t>ARIMA</w:t>
      </w:r>
      <w:r>
        <w:rPr>
          <w:i/>
          <w:iCs/>
          <w:sz w:val="28"/>
          <w:szCs w:val="28"/>
        </w:rPr>
        <w:t xml:space="preserve"> (1, 1, 0)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-квадрат = 0,97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Далее необходимо проверить модель на адекватность. Адекватность модели опреде</w:t>
      </w:r>
      <w:r>
        <w:rPr>
          <w:sz w:val="28"/>
          <w:szCs w:val="28"/>
        </w:rPr>
        <w:t>ляется анализом остатков. Для того, чтобы модель можно было считать адекватной, необходимо, чтобы остатки: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Были случайны;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Имели нормальное распределение;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Были независимы.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проверки случайности воспользуемся тестом Льюинга-Бокса. Наблюдаемое значен</w:t>
      </w:r>
      <w:r>
        <w:rPr>
          <w:sz w:val="28"/>
          <w:szCs w:val="28"/>
        </w:rPr>
        <w:t xml:space="preserve">ие статистики: </w:t>
      </w: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783590" cy="241300"/>
            <wp:effectExtent l="1905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590" cy="24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Критическое значение:</w:t>
      </w: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637665" cy="231140"/>
            <wp:effectExtent l="19050" t="0" r="63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Исходя из произведенных расчетов нет оснований отвергать гипотезу о случайности остатков: критическое значение для данного числа степеней свободы </w:t>
      </w:r>
      <w:r>
        <w:rPr>
          <w:sz w:val="28"/>
          <w:szCs w:val="28"/>
        </w:rPr>
        <w:t>и уровня значимости выше наблюдаемого значения статистики.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того, чтобы сделать вывод о случайности остатков, также необходимо произвести проверку на стационарность. Для этого применим тест </w:t>
      </w:r>
      <w:r>
        <w:rPr>
          <w:sz w:val="28"/>
          <w:szCs w:val="28"/>
        </w:rPr>
        <w:lastRenderedPageBreak/>
        <w:t>Дикки-Фуллера. Результат теста (Рисунок 6) подтверждает гипотез</w:t>
      </w:r>
      <w:r>
        <w:rPr>
          <w:sz w:val="28"/>
          <w:szCs w:val="28"/>
        </w:rPr>
        <w:t>у о стационарности остатков (</w:t>
      </w:r>
      <w:r>
        <w:rPr>
          <w:sz w:val="28"/>
          <w:szCs w:val="28"/>
          <w:lang w:val="en-US"/>
        </w:rPr>
        <w:t>Prob</w:t>
      </w:r>
      <w:r>
        <w:rPr>
          <w:sz w:val="28"/>
          <w:szCs w:val="28"/>
        </w:rPr>
        <w:t xml:space="preserve"> &lt; 0,05).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  <w:lang w:val="en-US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079875" cy="1979295"/>
            <wp:effectExtent l="1905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875" cy="197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6</w:t>
      </w:r>
      <w:r>
        <w:rPr>
          <w:i/>
          <w:iCs/>
          <w:sz w:val="28"/>
          <w:szCs w:val="28"/>
        </w:rPr>
        <w:t xml:space="preserve"> - Тест Дикки-Фуллера для ряда остатков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График нормальности остатков (Рисунок 7) говорит о том, что распределение близко к нормальному, так как точки на графики групп</w:t>
      </w:r>
      <w:r>
        <w:rPr>
          <w:sz w:val="28"/>
          <w:szCs w:val="28"/>
        </w:rPr>
        <w:t>ируются вдоль прямой линии на графике.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471670" cy="3275965"/>
            <wp:effectExtent l="19050" t="0" r="508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670" cy="3275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7</w:t>
      </w:r>
      <w:r>
        <w:rPr>
          <w:i/>
          <w:iCs/>
          <w:sz w:val="28"/>
          <w:szCs w:val="28"/>
        </w:rPr>
        <w:t xml:space="preserve"> - График нормального распределения остатков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Независимость остатков друг от друга проверим с помощью автокорреляционной функции (Рисунок 8). Практически отсутствует авток</w:t>
      </w:r>
      <w:r>
        <w:rPr>
          <w:sz w:val="28"/>
          <w:szCs w:val="28"/>
        </w:rPr>
        <w:t>орреляция остатков, в связи с чем можно сделать вывод о том, что условие независимости остатков выполняется.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461510" cy="3345815"/>
            <wp:effectExtent l="1905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510" cy="3345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8</w:t>
      </w:r>
      <w:r>
        <w:rPr>
          <w:i/>
          <w:iCs/>
          <w:sz w:val="28"/>
          <w:szCs w:val="28"/>
        </w:rPr>
        <w:t xml:space="preserve"> - Функция автокорреляции остатков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результате произведенных тестов остатков можно сделать вывод об </w:t>
      </w:r>
      <w:r>
        <w:rPr>
          <w:sz w:val="28"/>
          <w:szCs w:val="28"/>
        </w:rPr>
        <w:t>адекватности модели и перейти к построению прогноза. Был произведен ретроспективный прогноз для средней цены 1 кв.м. жилой площади первичного рынка Белгородской области на 1-4 кварталы 2015 г. Результат представлен в Таблице 2.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2</w:t>
      </w:r>
      <w:r>
        <w:rPr>
          <w:i/>
          <w:iCs/>
          <w:sz w:val="28"/>
          <w:szCs w:val="28"/>
        </w:rPr>
        <w:t xml:space="preserve"> - Прогноз средней</w:t>
      </w:r>
      <w:r>
        <w:rPr>
          <w:i/>
          <w:iCs/>
          <w:sz w:val="28"/>
          <w:szCs w:val="28"/>
        </w:rPr>
        <w:t xml:space="preserve"> стоимости 1 кв.м. жилой площади первичного рынка Белгородской области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559"/>
        <w:gridCol w:w="1630"/>
        <w:gridCol w:w="1631"/>
        <w:gridCol w:w="1984"/>
        <w:gridCol w:w="2268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Прогнозное значение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Фактическое значение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Относительная ошибка прогноза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относительная ошибка прогноза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квартал 2015 г.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54842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53377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2,74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6,59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квартал 2015 г.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55034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52148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5,53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квартал 2015 г.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55200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51102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8,02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квартал 2015 г.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55344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50275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10,08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Как видно из графика (Рисунок 9), модель весьма точно описывает динамику исходного ценового ряда. Тем не менее, стоит отметить, что ретроспективный прогноз показывает заметн</w:t>
      </w:r>
      <w:r>
        <w:rPr>
          <w:sz w:val="28"/>
          <w:szCs w:val="28"/>
        </w:rPr>
        <w:t xml:space="preserve">ое отклонение от фактических данных в связи с тем, что она не учитывает внешних факторов, например, кризис или состояние рынка, а 2015 г. показал довольно резкое снижение цены, </w:t>
      </w:r>
      <w:r>
        <w:rPr>
          <w:sz w:val="28"/>
          <w:szCs w:val="28"/>
        </w:rPr>
        <w:lastRenderedPageBreak/>
        <w:t>в то время как модель уловила тенденцию к росту прошлых периодов. В данном случ</w:t>
      </w:r>
      <w:r>
        <w:rPr>
          <w:sz w:val="28"/>
          <w:szCs w:val="28"/>
        </w:rPr>
        <w:t xml:space="preserve">ае можно сделать вывод о том, что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>-модель наиболее эффективна для построения краткосрочных прогнозов на ближайшие 1-2 периода.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933950" cy="3286125"/>
            <wp:effectExtent l="1905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9</w:t>
      </w:r>
      <w:r>
        <w:rPr>
          <w:i/>
          <w:iCs/>
          <w:sz w:val="28"/>
          <w:szCs w:val="28"/>
        </w:rPr>
        <w:t xml:space="preserve"> - График фактических и прогнозных значений по модели </w:t>
      </w:r>
      <w:r>
        <w:rPr>
          <w:i/>
          <w:iCs/>
          <w:sz w:val="28"/>
          <w:szCs w:val="28"/>
          <w:lang w:val="en-US"/>
        </w:rPr>
        <w:t>ARIMA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.1.2 Модель сред</w:t>
      </w:r>
      <w:r>
        <w:rPr>
          <w:b/>
          <w:bCs/>
          <w:sz w:val="28"/>
          <w:szCs w:val="28"/>
        </w:rPr>
        <w:t>ней цены Воронежской области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Построения проводим тем же образом, что описано в параграфе выше. Проверяем временной ряд на стационарность и сезонность.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Выполним тест Дики-Фуллера. Результат теста представлен на Рисунке 10. Расчеты показали, что нулевая гипо</w:t>
      </w:r>
      <w:r>
        <w:rPr>
          <w:sz w:val="28"/>
          <w:szCs w:val="28"/>
        </w:rPr>
        <w:t>теза о наличии единичного корня не отвергается (</w:t>
      </w:r>
      <w:r>
        <w:rPr>
          <w:sz w:val="28"/>
          <w:szCs w:val="28"/>
          <w:lang w:val="en-US"/>
        </w:rPr>
        <w:t>Prob</w:t>
      </w:r>
      <w:r>
        <w:rPr>
          <w:sz w:val="28"/>
          <w:szCs w:val="28"/>
        </w:rPr>
        <w:t xml:space="preserve"> &gt; 0,05), отсюда можно сделать вывод о том, что ряд не является стационарным.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240530" cy="2080260"/>
            <wp:effectExtent l="19050" t="0" r="762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530" cy="2080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lastRenderedPageBreak/>
        <w:t xml:space="preserve">Рисунок </w:t>
      </w:r>
      <w:r>
        <w:rPr>
          <w:i/>
          <w:iCs/>
          <w:noProof/>
          <w:sz w:val="28"/>
          <w:szCs w:val="28"/>
        </w:rPr>
        <w:t>10</w:t>
      </w:r>
      <w:r>
        <w:rPr>
          <w:i/>
          <w:iCs/>
          <w:sz w:val="28"/>
          <w:szCs w:val="28"/>
        </w:rPr>
        <w:t xml:space="preserve"> - Тест Дики-Фуллера для исходного ряда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Возьмем первую разность и проведем тес</w:t>
      </w:r>
      <w:r>
        <w:rPr>
          <w:sz w:val="28"/>
          <w:szCs w:val="28"/>
        </w:rPr>
        <w:t>т Дики-Фуллера повторно (Рисунок 11). В результате нулевая гипотеза о наличии единичного корня отвергается (</w:t>
      </w:r>
      <w:r>
        <w:rPr>
          <w:sz w:val="28"/>
          <w:szCs w:val="28"/>
          <w:lang w:val="en-US"/>
        </w:rPr>
        <w:t>Prob</w:t>
      </w:r>
      <w:r>
        <w:rPr>
          <w:sz w:val="28"/>
          <w:szCs w:val="28"/>
        </w:rPr>
        <w:t xml:space="preserve"> &lt; 0,05), значит, теперь временной ряд стационарен.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140200" cy="2029460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2029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11</w:t>
      </w:r>
      <w:r>
        <w:rPr>
          <w:i/>
          <w:iCs/>
          <w:sz w:val="28"/>
          <w:szCs w:val="28"/>
        </w:rPr>
        <w:t xml:space="preserve"> - Тест Дики-Фуллера для первой разности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</w:t>
      </w:r>
      <w:r>
        <w:rPr>
          <w:sz w:val="28"/>
          <w:szCs w:val="28"/>
        </w:rPr>
        <w:t xml:space="preserve">кже стоит отметить, что с учетом взятия первых разностей, параметр порядка разности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в дальнейшем построении модели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будет равен 1.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проверки временного ряда на сезонность используем периодограмму (Рисунок 12). С учетом периодичности данных времен</w:t>
      </w:r>
      <w:r>
        <w:rPr>
          <w:sz w:val="28"/>
          <w:szCs w:val="28"/>
        </w:rPr>
        <w:t>ного ряда, возникает предположение о наличии сезонной составляющей по кварталам. В таком случае на периодограмме наблюдался бы пик при частоте 0,25. Отсутствие такого пика говорит о том, что сезонности по кварталам во временном ряде нет.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009390" cy="3004185"/>
            <wp:effectExtent l="1905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9390" cy="3004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12</w:t>
      </w:r>
      <w:r>
        <w:rPr>
          <w:i/>
          <w:iCs/>
          <w:sz w:val="28"/>
          <w:szCs w:val="28"/>
        </w:rPr>
        <w:t xml:space="preserve"> - Периодограмма временного ряда по частоте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Определим параметры модели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</w:rPr>
        <w:t>). Воспользуемся структурой автокорреляционной и частной автокорреляционной функций (Рисунок 13). Исходя из поведения автокорреляционной и ч</w:t>
      </w:r>
      <w:r>
        <w:rPr>
          <w:sz w:val="28"/>
          <w:szCs w:val="28"/>
        </w:rPr>
        <w:t>астной автокореляционной функций, оптимальные значения порядков авторегрессии и скользящего среднего равны 1 и 0 соответственно.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788410" cy="2964180"/>
            <wp:effectExtent l="19050" t="0" r="254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410" cy="2964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lastRenderedPageBreak/>
        <w:t xml:space="preserve">Рисунок </w:t>
      </w:r>
      <w:r>
        <w:rPr>
          <w:i/>
          <w:iCs/>
          <w:noProof/>
          <w:sz w:val="28"/>
          <w:szCs w:val="28"/>
        </w:rPr>
        <w:t>13</w:t>
      </w:r>
      <w:r>
        <w:rPr>
          <w:i/>
          <w:iCs/>
          <w:sz w:val="28"/>
          <w:szCs w:val="28"/>
        </w:rPr>
        <w:t xml:space="preserve"> - Автокорреляционная и частная автокорреляционная функции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Также удостоверимся в</w:t>
      </w:r>
      <w:r>
        <w:rPr>
          <w:sz w:val="28"/>
          <w:szCs w:val="28"/>
        </w:rPr>
        <w:t xml:space="preserve"> верном подборе при помощи информационных критериев Акаике и Шварца. В Таблице 3 представлены значения данных критериев для ряда моделей.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3</w:t>
      </w:r>
      <w:r>
        <w:rPr>
          <w:i/>
          <w:iCs/>
          <w:sz w:val="28"/>
          <w:szCs w:val="28"/>
        </w:rPr>
        <w:t xml:space="preserve"> - Информационные критерии моделей </w:t>
      </w:r>
      <w:r>
        <w:rPr>
          <w:i/>
          <w:iCs/>
          <w:sz w:val="28"/>
          <w:szCs w:val="28"/>
          <w:lang w:val="en-US"/>
        </w:rPr>
        <w:t>ARIMA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062"/>
        <w:gridCol w:w="1304"/>
        <w:gridCol w:w="1304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Модель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AIC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SC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ARIMA (1,1,0)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16,17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16,24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ARIMA (1,1,1)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16,</w:t>
            </w:r>
            <w:r>
              <w:rPr>
                <w:sz w:val="20"/>
                <w:szCs w:val="20"/>
              </w:rPr>
              <w:t>18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16,29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(0,1,1)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16,</w:t>
            </w:r>
            <w:r>
              <w:rPr>
                <w:sz w:val="20"/>
                <w:szCs w:val="20"/>
              </w:rPr>
              <w:t>23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,30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(2,1,1)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16,</w:t>
            </w:r>
            <w:r>
              <w:rPr>
                <w:sz w:val="20"/>
                <w:szCs w:val="20"/>
              </w:rPr>
              <w:t>21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16,31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(2,1,2)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16,36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16,47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0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(1,1,2)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16,</w:t>
            </w:r>
            <w:r>
              <w:rPr>
                <w:sz w:val="20"/>
                <w:szCs w:val="20"/>
              </w:rPr>
              <w:t>19</w:t>
            </w:r>
          </w:p>
        </w:tc>
        <w:tc>
          <w:tcPr>
            <w:tcW w:w="13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16,</w:t>
            </w:r>
            <w:r>
              <w:rPr>
                <w:sz w:val="20"/>
                <w:szCs w:val="20"/>
              </w:rPr>
              <w:t>30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Информационные критерии также указывают на верный выбор параметров, модель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(1, 1, 0) имеет наименьшее из всех значение данных критерие</w:t>
      </w:r>
      <w:r>
        <w:rPr>
          <w:sz w:val="28"/>
          <w:szCs w:val="28"/>
        </w:rPr>
        <w:t>в. После того, как были выбраны параметры модели, строим непосредственно саму модель с помощью метода максимального правдоподобия. Результаты расчета приведены на Рисунке 14, все коэффициенты модели значимы.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300855" cy="1216025"/>
            <wp:effectExtent l="19050" t="0" r="444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855" cy="121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14</w:t>
      </w:r>
      <w:r>
        <w:rPr>
          <w:i/>
          <w:iCs/>
          <w:sz w:val="28"/>
          <w:szCs w:val="28"/>
        </w:rPr>
        <w:t xml:space="preserve"> - Модель </w:t>
      </w:r>
      <w:r>
        <w:rPr>
          <w:i/>
          <w:iCs/>
          <w:sz w:val="28"/>
          <w:szCs w:val="28"/>
          <w:lang w:val="en-US"/>
        </w:rPr>
        <w:t>ARIMA</w:t>
      </w:r>
      <w:r>
        <w:rPr>
          <w:i/>
          <w:iCs/>
          <w:sz w:val="28"/>
          <w:szCs w:val="28"/>
        </w:rPr>
        <w:t xml:space="preserve"> (1, 1, 0)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-квадрат = 0,99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Далее необходимо проверить модель на адекватность. Для проверки случайности воспользуемся тестом Льюинга-Бокса. Наблюдаемое значение статистики:</w:t>
      </w: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783590" cy="241300"/>
            <wp:effectExtent l="1905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590" cy="24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Критическое значение:</w:t>
      </w: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637665" cy="231140"/>
            <wp:effectExtent l="19050" t="0" r="63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Исходя из произведенных расчетов нет оснований отвергать гипотезу о случайности остатков: критическое значение для данного числа степеней свободы и уровня значимости выше наблюдаемог</w:t>
      </w:r>
      <w:r>
        <w:rPr>
          <w:sz w:val="28"/>
          <w:szCs w:val="28"/>
        </w:rPr>
        <w:t>о значения статистики.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того, чтобы сделать вывод о случайности остатков, также необходимо произвести проверку на стационарность. Для этого применим тест Дикки-Фуллера. Результат теста (Рисунок 15) подтверждает гипотезу о стационарности остатков (</w:t>
      </w:r>
      <w:r>
        <w:rPr>
          <w:sz w:val="28"/>
          <w:szCs w:val="28"/>
          <w:lang w:val="en-US"/>
        </w:rPr>
        <w:t>Prob</w:t>
      </w:r>
      <w:r>
        <w:rPr>
          <w:sz w:val="28"/>
          <w:szCs w:val="28"/>
        </w:rPr>
        <w:t xml:space="preserve"> &lt;</w:t>
      </w:r>
      <w:r>
        <w:rPr>
          <w:sz w:val="28"/>
          <w:szCs w:val="28"/>
        </w:rPr>
        <w:t xml:space="preserve"> 0,05).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  <w:lang w:val="en-US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009390" cy="1939290"/>
            <wp:effectExtent l="1905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9390" cy="1939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15</w:t>
      </w:r>
      <w:r>
        <w:rPr>
          <w:i/>
          <w:iCs/>
          <w:sz w:val="28"/>
          <w:szCs w:val="28"/>
        </w:rPr>
        <w:t xml:space="preserve"> - Тест Дикки-Фуллера для ряда остатков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График нормальности остатков (Рисунок 16) говорит о том, что распределение близко к нормальному, так как точки на графики группируются вдоль прямой линии на гр</w:t>
      </w:r>
      <w:r>
        <w:rPr>
          <w:sz w:val="28"/>
          <w:szCs w:val="28"/>
        </w:rPr>
        <w:t>афике.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3808095" cy="2924175"/>
            <wp:effectExtent l="19050" t="0" r="1905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095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16</w:t>
      </w:r>
      <w:r>
        <w:rPr>
          <w:i/>
          <w:iCs/>
          <w:sz w:val="28"/>
          <w:szCs w:val="28"/>
        </w:rPr>
        <w:t xml:space="preserve"> - График нормального распределения остатков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Независимость остатков друг от друга проверим с помощью автокорреляционной функции (Рисунок 17). Практически отсутствует автокорреляция остатков, в связи </w:t>
      </w:r>
      <w:r>
        <w:rPr>
          <w:sz w:val="28"/>
          <w:szCs w:val="28"/>
        </w:rPr>
        <w:t>с чем можно сделать вывод о том, что условие независимости остатков выполняется.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250690" cy="3185160"/>
            <wp:effectExtent l="1905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690" cy="3185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17</w:t>
      </w:r>
      <w:r>
        <w:rPr>
          <w:i/>
          <w:iCs/>
          <w:sz w:val="28"/>
          <w:szCs w:val="28"/>
        </w:rPr>
        <w:t xml:space="preserve"> - Функция автокорреляции остатков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В результате произведенных тестов остатков можно сделать вывод об адекватности модели и пере</w:t>
      </w:r>
      <w:r>
        <w:rPr>
          <w:sz w:val="28"/>
          <w:szCs w:val="28"/>
        </w:rPr>
        <w:t>йти к построению прогноза. Был произведен ретроспективный прогноз для средней цены 1 кв.м. жилой площади первичного рынка Белгородской области на 1-4 кварталы 2015 г. Результат представлен в Таблице 4.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4</w:t>
      </w:r>
      <w:r>
        <w:rPr>
          <w:i/>
          <w:iCs/>
          <w:sz w:val="28"/>
          <w:szCs w:val="28"/>
        </w:rPr>
        <w:t xml:space="preserve"> - Прогноз средней стоимости 1 кв.м. жилой п</w:t>
      </w:r>
      <w:r>
        <w:rPr>
          <w:i/>
          <w:iCs/>
          <w:sz w:val="28"/>
          <w:szCs w:val="28"/>
        </w:rPr>
        <w:t>лощади первичного рынка Белгородской области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655"/>
        <w:gridCol w:w="1811"/>
        <w:gridCol w:w="1811"/>
        <w:gridCol w:w="1811"/>
        <w:gridCol w:w="2153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6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Прогнозное значение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Фактическое значение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Относительная ошибка прогноза</w:t>
            </w:r>
          </w:p>
        </w:tc>
        <w:tc>
          <w:tcPr>
            <w:tcW w:w="21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относительная ошибка прогноза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квартал 2015 г.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45522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44458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2,34</w:t>
            </w:r>
          </w:p>
        </w:tc>
        <w:tc>
          <w:tcPr>
            <w:tcW w:w="21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5,48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квартал 2015 г.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46243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43681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5,54</w:t>
            </w:r>
          </w:p>
        </w:tc>
        <w:tc>
          <w:tcPr>
            <w:tcW w:w="21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квартал 2015 г.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46935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43632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</w:t>
            </w:r>
          </w:p>
        </w:tc>
        <w:tc>
          <w:tcPr>
            <w:tcW w:w="21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квартал 2015 г.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47611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44263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7,03</w:t>
            </w:r>
          </w:p>
        </w:tc>
        <w:tc>
          <w:tcPr>
            <w:tcW w:w="21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Как видно из графика (Рисунок 19), модель весьма точно описывает динамику исходного ценового ряда. Тем не менее, стоит отметить, что ретроспективный прогноз показывает заметное отклонение от фактичес</w:t>
      </w:r>
      <w:r>
        <w:rPr>
          <w:sz w:val="28"/>
          <w:szCs w:val="28"/>
        </w:rPr>
        <w:t>ких данных в связи с тем, что она не учитывает внешних факторов, например, кризис или состояние рынка, а 2015 г. показал довольно резкое снижение цены, в то время как модель уловила тенденцию к росту прошлых периодов.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903470" cy="3667760"/>
            <wp:effectExtent l="1905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470" cy="366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19</w:t>
      </w:r>
      <w:r>
        <w:rPr>
          <w:i/>
          <w:iCs/>
          <w:sz w:val="28"/>
          <w:szCs w:val="28"/>
        </w:rPr>
        <w:t xml:space="preserve"> - График фактических и прогнозных значений по модели </w:t>
      </w:r>
      <w:r>
        <w:rPr>
          <w:i/>
          <w:iCs/>
          <w:sz w:val="28"/>
          <w:szCs w:val="28"/>
          <w:lang w:val="en-US"/>
        </w:rPr>
        <w:t>ARIMA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.1.3 Модель средней цены Тульской области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Проверяем временной ряд на стационарность и сезонность.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Выполним тест Дики-Фуллера. Результат теста представлен на Рисунке 20. Расчеты показали</w:t>
      </w:r>
      <w:r>
        <w:rPr>
          <w:sz w:val="28"/>
          <w:szCs w:val="28"/>
        </w:rPr>
        <w:t>, что нулевая гипотеза о наличии единичного корня не отвергается (</w:t>
      </w:r>
      <w:r>
        <w:rPr>
          <w:sz w:val="28"/>
          <w:szCs w:val="28"/>
          <w:lang w:val="en-US"/>
        </w:rPr>
        <w:t>Prob</w:t>
      </w:r>
      <w:r>
        <w:rPr>
          <w:sz w:val="28"/>
          <w:szCs w:val="28"/>
        </w:rPr>
        <w:t xml:space="preserve"> &gt; 0,05), отсюда можно сделать вывод о том, что ряд не является стационарным.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456940" cy="1657985"/>
            <wp:effectExtent l="1905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6940" cy="1657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20</w:t>
      </w:r>
      <w:r>
        <w:rPr>
          <w:i/>
          <w:iCs/>
          <w:sz w:val="28"/>
          <w:szCs w:val="28"/>
        </w:rPr>
        <w:t xml:space="preserve"> - Тест Дики-Фуллера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Возьмем первую разность и проведем тес</w:t>
      </w:r>
      <w:r>
        <w:rPr>
          <w:sz w:val="28"/>
          <w:szCs w:val="28"/>
        </w:rPr>
        <w:t>т Дики-Фуллера повторно (Рисунок 21). В результате нулевая гипотеза о наличии единичного корня отвергается (</w:t>
      </w:r>
      <w:r>
        <w:rPr>
          <w:sz w:val="28"/>
          <w:szCs w:val="28"/>
          <w:lang w:val="en-US"/>
        </w:rPr>
        <w:t>Prob</w:t>
      </w:r>
      <w:r>
        <w:rPr>
          <w:sz w:val="28"/>
          <w:szCs w:val="28"/>
        </w:rPr>
        <w:t xml:space="preserve"> &lt; 0,05), значит, теперь временной ряд стационарен.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305810" cy="1567815"/>
            <wp:effectExtent l="19050" t="0" r="889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810" cy="156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21</w:t>
      </w:r>
      <w:r>
        <w:rPr>
          <w:i/>
          <w:iCs/>
          <w:sz w:val="28"/>
          <w:szCs w:val="28"/>
        </w:rPr>
        <w:t xml:space="preserve"> - Тест Дики-Фуллера для первой разности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</w:t>
      </w:r>
      <w:r>
        <w:rPr>
          <w:sz w:val="28"/>
          <w:szCs w:val="28"/>
        </w:rPr>
        <w:t xml:space="preserve">кже стоит отметить, что с учетом взятия первых разностей, параметр порядка разности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в дальнейшем построении модели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будет равен 1.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проверки временного ряда на сезонность используем периодограмму (Рисунок 22). С учетом периодичности данных времен</w:t>
      </w:r>
      <w:r>
        <w:rPr>
          <w:sz w:val="28"/>
          <w:szCs w:val="28"/>
        </w:rPr>
        <w:t>ного ряда, возникает предположение о наличии сезонной составляющей по кварталам. В таком случае на периодограмме наблюдался бы пик при частоте 0,25. Отсутствие такого пика говорит о том, что сезонности по кварталам во временном ряде нет.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426460" cy="2622550"/>
            <wp:effectExtent l="19050" t="0" r="254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62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lastRenderedPageBreak/>
        <w:t xml:space="preserve">Рисунок </w:t>
      </w:r>
      <w:r>
        <w:rPr>
          <w:i/>
          <w:iCs/>
          <w:noProof/>
          <w:sz w:val="28"/>
          <w:szCs w:val="28"/>
        </w:rPr>
        <w:t>22</w:t>
      </w:r>
      <w:r>
        <w:rPr>
          <w:i/>
          <w:iCs/>
          <w:sz w:val="28"/>
          <w:szCs w:val="28"/>
        </w:rPr>
        <w:t xml:space="preserve"> - Периодограмма временного ряда по частоте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Определим параметры модели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</w:rPr>
        <w:t>). Воспользуемся структурой автокорреляционной и частной автокорреляционной функций (Рисунок 23). Исходя из поведения автокорреляционной и ча</w:t>
      </w:r>
      <w:r>
        <w:rPr>
          <w:sz w:val="28"/>
          <w:szCs w:val="28"/>
        </w:rPr>
        <w:t>стной автокореляционной функций, оптимальные значения порядков авторегрессии и скользящего среднего равны 5 и 10.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069715" cy="3707765"/>
            <wp:effectExtent l="19050" t="0" r="6985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715" cy="3707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23</w:t>
      </w:r>
      <w:r>
        <w:rPr>
          <w:i/>
          <w:iCs/>
          <w:sz w:val="28"/>
          <w:szCs w:val="28"/>
        </w:rPr>
        <w:t xml:space="preserve"> - Автокорреляционная и частная автокорреляционная функции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Также удостоверимся в верном подбо</w:t>
      </w:r>
      <w:r>
        <w:rPr>
          <w:sz w:val="28"/>
          <w:szCs w:val="28"/>
        </w:rPr>
        <w:t>ре при помощи информационных критериев Акаике и Шварца. В Таблице 5представлены значения данных критериев для ряда моделей.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5</w:t>
      </w:r>
      <w:r>
        <w:rPr>
          <w:i/>
          <w:iCs/>
          <w:sz w:val="28"/>
          <w:szCs w:val="28"/>
        </w:rPr>
        <w:t xml:space="preserve"> - Информационные критерии моделей </w:t>
      </w:r>
      <w:r>
        <w:rPr>
          <w:i/>
          <w:iCs/>
          <w:sz w:val="28"/>
          <w:szCs w:val="28"/>
          <w:lang w:val="en-US"/>
        </w:rPr>
        <w:t>ARIMA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166"/>
        <w:gridCol w:w="1252"/>
        <w:gridCol w:w="125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Модель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AIC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SC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ARIMA (1,1,0)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17,38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17,45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ARIMA (1,1,1)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17,</w:t>
            </w:r>
            <w:r>
              <w:rPr>
                <w:sz w:val="20"/>
                <w:szCs w:val="20"/>
              </w:rPr>
              <w:t>37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17,48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ARIMA (0,1,1)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17,37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7,44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(2,1,1)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17,</w:t>
            </w:r>
            <w:r>
              <w:rPr>
                <w:sz w:val="20"/>
                <w:szCs w:val="20"/>
              </w:rPr>
              <w:t>39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17,50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(2,1,2)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17,39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17,50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 (1,1,2)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17,</w:t>
            </w:r>
            <w:r>
              <w:rPr>
                <w:sz w:val="20"/>
                <w:szCs w:val="20"/>
              </w:rPr>
              <w:t>39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16,</w:t>
            </w:r>
            <w:r>
              <w:rPr>
                <w:sz w:val="20"/>
                <w:szCs w:val="20"/>
              </w:rPr>
              <w:t>49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ARIMA (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,1,10)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16,86</w:t>
            </w:r>
          </w:p>
        </w:tc>
        <w:tc>
          <w:tcPr>
            <w:tcW w:w="1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16,97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Информационные критерии также указывают на верный выбор параметров, модель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(5, 1, 10) имеет наименьшее из всех зн</w:t>
      </w:r>
      <w:r>
        <w:rPr>
          <w:sz w:val="28"/>
          <w:szCs w:val="28"/>
        </w:rPr>
        <w:t>ачение данных критериев. После того, как были выбраны параметры модели, строим непосредственно саму модель с помощью метода максимального правдоподобия. Результаты расчета приведены на Рисунок 24, все коэффициенты модели значимы.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738245" cy="793750"/>
            <wp:effectExtent l="1905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8245" cy="79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24</w:t>
      </w:r>
      <w:r>
        <w:rPr>
          <w:i/>
          <w:iCs/>
          <w:sz w:val="28"/>
          <w:szCs w:val="28"/>
        </w:rPr>
        <w:t xml:space="preserve"> - Модель </w:t>
      </w:r>
      <w:r>
        <w:rPr>
          <w:i/>
          <w:iCs/>
          <w:sz w:val="28"/>
          <w:szCs w:val="28"/>
          <w:lang w:val="en-US"/>
        </w:rPr>
        <w:t>ARIMA</w:t>
      </w:r>
      <w:r>
        <w:rPr>
          <w:i/>
          <w:iCs/>
          <w:sz w:val="28"/>
          <w:szCs w:val="28"/>
        </w:rPr>
        <w:t xml:space="preserve"> (5, 1, 10)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-квадрат = 0,98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Далее необходимо проверить модель на адекватность. Адекватность модели определяется анализом остатков. Для того, чтобы модель можно было считать адекватной, необходимо, чтобы остатки: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Был</w:t>
      </w:r>
      <w:r>
        <w:rPr>
          <w:sz w:val="28"/>
          <w:szCs w:val="28"/>
        </w:rPr>
        <w:t>и случайны;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Имели нормальное распределение;</w:t>
      </w:r>
    </w:p>
    <w:p w:rsidR="00000000" w:rsidRDefault="001378F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Были независимы.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проверки случайности воспользуемся тестом Льюинга-Бокса. Наблюдаемое значение статистики:</w:t>
      </w: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783590" cy="241300"/>
            <wp:effectExtent l="1905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590" cy="24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Критическое значение:</w:t>
      </w: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1637665" cy="231140"/>
            <wp:effectExtent l="19050" t="0" r="635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Ис</w:t>
      </w:r>
      <w:r>
        <w:rPr>
          <w:sz w:val="28"/>
          <w:szCs w:val="28"/>
        </w:rPr>
        <w:t>ходя из произведенных расчетов нет оснований отвергать гипотезу о случайности остатков: критическое значение для данного числа степеней свободы и уровня значимости выше наблюдаемого значения статистики.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того, чтобы сделать вывод о случайности остатков,</w:t>
      </w:r>
      <w:r>
        <w:rPr>
          <w:sz w:val="28"/>
          <w:szCs w:val="28"/>
        </w:rPr>
        <w:t xml:space="preserve"> также необходимо произвести проверку на стационарность. Для этого применим тест Дикки-Фуллера. Результат теста (Рисунок 25) подтверждает гипотезу о стационарности остатков (</w:t>
      </w:r>
      <w:r>
        <w:rPr>
          <w:sz w:val="28"/>
          <w:szCs w:val="28"/>
          <w:lang w:val="en-US"/>
        </w:rPr>
        <w:t>Prob</w:t>
      </w:r>
      <w:r>
        <w:rPr>
          <w:sz w:val="28"/>
          <w:szCs w:val="28"/>
        </w:rPr>
        <w:t xml:space="preserve"> &lt; 0,05).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  <w:lang w:val="en-US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476625" cy="1697990"/>
            <wp:effectExtent l="19050" t="0" r="9525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697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25</w:t>
      </w:r>
      <w:r>
        <w:rPr>
          <w:i/>
          <w:iCs/>
          <w:sz w:val="28"/>
          <w:szCs w:val="28"/>
        </w:rPr>
        <w:t xml:space="preserve"> - Тест Дикки-Фуллер</w:t>
      </w:r>
      <w:r>
        <w:rPr>
          <w:i/>
          <w:iCs/>
          <w:sz w:val="28"/>
          <w:szCs w:val="28"/>
        </w:rPr>
        <w:t>а для ряда остатков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Гистограмма остатков (Рисунок 26) говорит о том, что в целом распределение близко к нормальному.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456555" cy="2441575"/>
            <wp:effectExtent l="1905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555" cy="244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26</w:t>
      </w:r>
      <w:r>
        <w:rPr>
          <w:i/>
          <w:iCs/>
          <w:sz w:val="28"/>
          <w:szCs w:val="28"/>
        </w:rPr>
        <w:t xml:space="preserve"> - Гистограмма остатков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Независимость остатков друг от друга проверим с помощью автокорре</w:t>
      </w:r>
      <w:r>
        <w:rPr>
          <w:sz w:val="28"/>
          <w:szCs w:val="28"/>
        </w:rPr>
        <w:t>ляционной функции (Рисунок 27). Практически отсутствует автокорреляция остатков, в связи с чем можно сделать вывод о том, что условие независимости остатков выполняется.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029075" cy="3587115"/>
            <wp:effectExtent l="19050" t="0" r="9525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3587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27</w:t>
      </w:r>
      <w:r>
        <w:rPr>
          <w:i/>
          <w:iCs/>
          <w:sz w:val="28"/>
          <w:szCs w:val="28"/>
        </w:rPr>
        <w:t xml:space="preserve"> - Коррелограмма остатков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</w:t>
      </w:r>
      <w:r>
        <w:rPr>
          <w:sz w:val="28"/>
          <w:szCs w:val="28"/>
        </w:rPr>
        <w:t>е произведенных тестов остатков можно сделать вывод об адекватности модели и перейти к построению прогноза. Был произведен ретроспективный прогноз для средней цены 1 кв.м. жилой площади первичного рынка Тульской области на 1-4 кварталы 2015 г. Результат пр</w:t>
      </w:r>
      <w:r>
        <w:rPr>
          <w:sz w:val="28"/>
          <w:szCs w:val="28"/>
        </w:rPr>
        <w:t>едставлен в Таблице 6.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6</w:t>
      </w:r>
      <w:r>
        <w:rPr>
          <w:i/>
          <w:iCs/>
          <w:sz w:val="28"/>
          <w:szCs w:val="28"/>
        </w:rPr>
        <w:t xml:space="preserve"> - Прогноз средней стоимости 1 кв.м. жилой площади первичного рынка Тульской области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559"/>
        <w:gridCol w:w="1795"/>
        <w:gridCol w:w="1796"/>
        <w:gridCol w:w="1796"/>
        <w:gridCol w:w="2126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7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Прогнозное значение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Фактическое значение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Относительная ошибка прогноза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относительная ошибка прогноза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 квартал 2015 г.</w:t>
            </w:r>
          </w:p>
        </w:tc>
        <w:tc>
          <w:tcPr>
            <w:tcW w:w="17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49770,74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48749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2,10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квартал 2015 г.</w:t>
            </w:r>
          </w:p>
        </w:tc>
        <w:tc>
          <w:tcPr>
            <w:tcW w:w="17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50533,98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48157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4,94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квартал 2015 г.</w:t>
            </w:r>
          </w:p>
        </w:tc>
        <w:tc>
          <w:tcPr>
            <w:tcW w:w="17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51287,09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47840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7,21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квартал 2015 г.</w:t>
            </w:r>
          </w:p>
        </w:tc>
        <w:tc>
          <w:tcPr>
            <w:tcW w:w="17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52031,96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47032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10,63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Как видно из графика (Рисунок 29), модель весьма точно описывает динамику исходного ценового ряда.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933950" cy="2974340"/>
            <wp:effectExtent l="1905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974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29</w:t>
      </w:r>
      <w:r>
        <w:rPr>
          <w:i/>
          <w:iCs/>
          <w:sz w:val="28"/>
          <w:szCs w:val="28"/>
        </w:rPr>
        <w:t xml:space="preserve"> - График фактических и прогнозных значений по модели </w:t>
      </w:r>
      <w:r>
        <w:rPr>
          <w:i/>
          <w:iCs/>
          <w:sz w:val="28"/>
          <w:szCs w:val="28"/>
          <w:lang w:val="en-US"/>
        </w:rPr>
        <w:t>ARIMA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.2 Построение многофакторных регрессионных моделей стоимости жилья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color w:val="FFFFFF"/>
          <w:sz w:val="28"/>
          <w:szCs w:val="28"/>
        </w:rPr>
      </w:pPr>
      <w:r>
        <w:rPr>
          <w:color w:val="FFFFFF"/>
          <w:sz w:val="28"/>
          <w:szCs w:val="28"/>
        </w:rPr>
        <w:t>недвижимость жилье ценообразование региональный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данном разделе рассматривается п</w:t>
      </w:r>
      <w:r>
        <w:rPr>
          <w:sz w:val="28"/>
          <w:szCs w:val="28"/>
        </w:rPr>
        <w:t>остроение эконометрических моделей. Исследование проводится на основе данных 1998-2014 годов для каждого из отобранных для исследования субъектов ЦФО. Производится оценка регрессионного уравнения, где в роли зависимой переменной выступает средняя цена 1 кв</w:t>
      </w:r>
      <w:r>
        <w:rPr>
          <w:sz w:val="28"/>
          <w:szCs w:val="28"/>
        </w:rPr>
        <w:t>.м. общей площади квартир на первичном рынке жилья, а в качестве независимых переменных используется ряд социально-экономических показателей как региона, так и страны в целом.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основе анализ литературы и различных источников были выделены показатели, кот</w:t>
      </w:r>
      <w:r>
        <w:rPr>
          <w:sz w:val="28"/>
          <w:szCs w:val="28"/>
        </w:rPr>
        <w:t xml:space="preserve">орые предположительно имеют наибольшее влияние на рынок жилья на региональном уровне. В Таблице 7 представлен перечень </w:t>
      </w:r>
      <w:r>
        <w:rPr>
          <w:sz w:val="28"/>
          <w:szCs w:val="28"/>
        </w:rPr>
        <w:lastRenderedPageBreak/>
        <w:t>используемых для построения модели переменных, их обозначение и описание. Все показатели относятся к количественной шкале.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7</w:t>
      </w:r>
      <w:r>
        <w:rPr>
          <w:i/>
          <w:iCs/>
          <w:sz w:val="28"/>
          <w:szCs w:val="28"/>
        </w:rPr>
        <w:t xml:space="preserve"> - И</w:t>
      </w:r>
      <w:r>
        <w:rPr>
          <w:i/>
          <w:iCs/>
          <w:sz w:val="28"/>
          <w:szCs w:val="28"/>
        </w:rPr>
        <w:t>сследуемые параметры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2126"/>
        <w:gridCol w:w="4536"/>
        <w:gridCol w:w="2410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Обозначение фактора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Описание фактора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Единицы измерения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Price_1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цена 1 кв.м. общей площади на первичном рынке жилья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Рубль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Inflation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Уровень инфляции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процентах относительно предыдущего периода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Unemployment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Уровень безработиц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Процент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Pop_inc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Естественный прирост, убыль (-) на 1000 человек населения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Человек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Income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Среднедушевые денежные доходы (в месяц)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Рубль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House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Ввод в действие жилых домов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м 2 общей площади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Investments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Инвестиции в основной капитал (в фактически де</w:t>
            </w:r>
            <w:r>
              <w:rPr>
                <w:sz w:val="20"/>
                <w:szCs w:val="20"/>
              </w:rPr>
              <w:t>йствовавших ценах)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Млн. рублей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Vrp</w:t>
            </w:r>
          </w:p>
        </w:tc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Валовой региональный продукт на душу населения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Рубль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 данные для моделей собраны на основе открытого источника, а именно - Федеральной службы государственной статистики. В силу недостаточной детализированности откры</w:t>
      </w:r>
      <w:r>
        <w:rPr>
          <w:sz w:val="28"/>
          <w:szCs w:val="28"/>
        </w:rPr>
        <w:t>тых к доступу данных, построение моделей производится на ежегодных данных перечисленных показателей.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.2.1 Регрессионная модель Белгородской области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Прежде чем переходить к построению модели, необходимо провести анализ парных корреляций. Для этого воспольз</w:t>
      </w:r>
      <w:r>
        <w:rPr>
          <w:sz w:val="28"/>
          <w:szCs w:val="28"/>
        </w:rPr>
        <w:t>уемся коэффициентом корреляции Пирсона, так как все независимые параметры относятся к количественной шкале. Коэффициент корреляции больший 0.75 будем считать высоким. Корреляционная матрица представлена на Рисунке 30.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933950" cy="3124835"/>
            <wp:effectExtent l="1905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124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30</w:t>
      </w:r>
      <w:r>
        <w:rPr>
          <w:i/>
          <w:iCs/>
          <w:sz w:val="28"/>
          <w:szCs w:val="28"/>
        </w:rPr>
        <w:t xml:space="preserve"> - Парные корреляции факторов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Наиболее высокая корреляция наблюдается между инвестициями в основной капитал и естественным приростом. Такое поведение можно объяснить тем, что данные параметры показывают тенден</w:t>
      </w:r>
      <w:r>
        <w:rPr>
          <w:sz w:val="28"/>
          <w:szCs w:val="28"/>
        </w:rPr>
        <w:t>цию к увеличению, то есть присутствует временная зависимость. Убрать зависимость можно избавившись от тренда. Процедура избавления от тренда представляет собой построение линейной регрессии с независимой переменной, которая отражает время и выражена номеро</w:t>
      </w:r>
      <w:r>
        <w:rPr>
          <w:sz w:val="28"/>
          <w:szCs w:val="28"/>
        </w:rPr>
        <w:t xml:space="preserve">м наблюдения. Избавившись от временной компоненты, мы исключаем тренд. Новый переменные, выражающие инвестиции и прирост без тренда, обозначены как </w:t>
      </w:r>
      <w:r>
        <w:rPr>
          <w:sz w:val="28"/>
          <w:szCs w:val="28"/>
          <w:lang w:val="en-US"/>
        </w:rPr>
        <w:t>Investments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Pop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inc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Также высокая корреляция присутствует между среднедушевыми денежными доходами и в</w:t>
      </w:r>
      <w:r>
        <w:rPr>
          <w:sz w:val="28"/>
          <w:szCs w:val="28"/>
        </w:rPr>
        <w:t>водом в действие жилых домов. Здесь также наблюдается тенденция к увеличению, делаем вывод о наличии временной зависимости и проводим операцию избавления от тренда, описанную выше. Новые переменный, выражающие ввод в действие жилых домов и среднедушевые до</w:t>
      </w:r>
      <w:r>
        <w:rPr>
          <w:sz w:val="28"/>
          <w:szCs w:val="28"/>
        </w:rPr>
        <w:t xml:space="preserve">ходы без тренда, обозначены как </w:t>
      </w:r>
      <w:r>
        <w:rPr>
          <w:sz w:val="28"/>
          <w:szCs w:val="28"/>
          <w:lang w:val="en-US"/>
        </w:rPr>
        <w:t>House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Income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соответственно.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Далее вновь построим корреляционную матрицу. Как видно из Рисунка 31, все корреляции ниже 0.75, следовательно, данные переменные можно использовать для регрессионной модели.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953635" cy="2954020"/>
            <wp:effectExtent l="19050" t="0" r="0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635" cy="2954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31</w:t>
      </w:r>
      <w:r>
        <w:rPr>
          <w:i/>
          <w:iCs/>
          <w:sz w:val="28"/>
          <w:szCs w:val="28"/>
        </w:rPr>
        <w:t xml:space="preserve"> - Парные корреляции факторов после избавления от трендов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отбора факторов для построения модели будем использовать метод прямого отбора. При данном подходе в первую очередь включается та переменная, которая имеет наибол</w:t>
      </w:r>
      <w:r>
        <w:rPr>
          <w:sz w:val="28"/>
          <w:szCs w:val="28"/>
        </w:rPr>
        <w:t>ьшую корреляцию с зависимой переменной. Показатели корреляции средней цены 1 кв.м. и независимых переменных представлены в Таблице 8.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8</w:t>
      </w:r>
      <w:r>
        <w:rPr>
          <w:i/>
          <w:iCs/>
          <w:sz w:val="28"/>
          <w:szCs w:val="28"/>
        </w:rPr>
        <w:t xml:space="preserve"> - Корреляция средней цены и факторов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748"/>
        <w:gridCol w:w="192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Price_1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Pop_inc_n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 xml:space="preserve">-0,532 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Income_n 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-0,784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Inflation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0,187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Unemployment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0,099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House</w:t>
            </w:r>
            <w:r>
              <w:rPr>
                <w:sz w:val="20"/>
                <w:szCs w:val="20"/>
                <w:lang w:val="en-US"/>
              </w:rPr>
              <w:t>_n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0,159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Investments_</w:t>
            </w:r>
            <w:r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0,134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Vrp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0,824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Наибольшая связь с зависимой переменной наблюдается у валового регионального продукта. Данную переменную проверяем на включение в </w:t>
      </w:r>
      <w:r>
        <w:rPr>
          <w:sz w:val="28"/>
          <w:szCs w:val="28"/>
        </w:rPr>
        <w:lastRenderedPageBreak/>
        <w:t>уравнение регрессии в первую очередь. Пусть модель включает</w:t>
      </w:r>
      <w:r>
        <w:rPr>
          <w:sz w:val="28"/>
          <w:szCs w:val="28"/>
        </w:rPr>
        <w:t xml:space="preserve"> в себя только одну независимую переменную </w:t>
      </w:r>
      <w:r>
        <w:rPr>
          <w:sz w:val="28"/>
          <w:szCs w:val="28"/>
          <w:lang w:val="en-US"/>
        </w:rPr>
        <w:t>Vrp</w:t>
      </w:r>
      <w:r>
        <w:rPr>
          <w:sz w:val="28"/>
          <w:szCs w:val="28"/>
        </w:rPr>
        <w:t xml:space="preserve">. Рассчитаем оценки зависимой переменной </w:t>
      </w:r>
      <w:r>
        <w:rPr>
          <w:sz w:val="28"/>
          <w:szCs w:val="28"/>
          <w:lang w:val="en-US"/>
        </w:rPr>
        <w:t>Price</w:t>
      </w:r>
      <w:r>
        <w:rPr>
          <w:sz w:val="28"/>
          <w:szCs w:val="28"/>
        </w:rPr>
        <w:t>_1. Результаты расчетов представлены в Таблице 9.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9</w:t>
      </w:r>
      <w:r>
        <w:rPr>
          <w:i/>
          <w:iCs/>
          <w:sz w:val="28"/>
          <w:szCs w:val="28"/>
        </w:rPr>
        <w:t xml:space="preserve"> - Расчеты модели с независимой переменно</w:t>
      </w:r>
      <w:r>
        <w:rPr>
          <w:i/>
          <w:iCs/>
          <w:noProof/>
          <w:sz w:val="28"/>
          <w:szCs w:val="28"/>
        </w:rPr>
        <w:t>й Vrp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23"/>
        <w:gridCol w:w="1145"/>
        <w:gridCol w:w="1257"/>
        <w:gridCol w:w="1398"/>
        <w:gridCol w:w="1019"/>
        <w:gridCol w:w="1398"/>
        <w:gridCol w:w="1398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Vrp</w:t>
            </w:r>
            <w:r>
              <w:rPr>
                <w:sz w:val="20"/>
                <w:szCs w:val="20"/>
              </w:rPr>
              <w:t xml:space="preserve"> (X)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Price_1 (Y)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Pred_pr (</w:t>
            </w:r>
            <w:r>
              <w:rPr>
                <w:sz w:val="20"/>
                <w:szCs w:val="20"/>
              </w:rPr>
              <w:t>Ŷ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Yср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</w:rPr>
              <w:t>Ŷ</w:t>
            </w:r>
            <w:r>
              <w:rPr>
                <w:sz w:val="20"/>
                <w:szCs w:val="20"/>
              </w:rPr>
              <w:t xml:space="preserve"> - Yср)^2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(Y - </w:t>
            </w:r>
            <w:r>
              <w:rPr>
                <w:sz w:val="20"/>
                <w:szCs w:val="20"/>
              </w:rPr>
              <w:t>Ŷ</w:t>
            </w:r>
            <w:r>
              <w:rPr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>^2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12956,00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3422,7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6670,69541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26437,33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390720052,3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10549474,18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22611,00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4568,6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7946,79590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26437,33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341900047,1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11412207,54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29637,00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5172,4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8875,42169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26437,33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308420809,4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13712369,64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35341,00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6346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9629,31886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26437,33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282509416,4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10780182,74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43771,00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9033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10743,51121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26437,33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246296114,4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2925848,6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50271,00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11532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11602,61563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26437,33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220068907,5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4986,5672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12956,00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14954,18022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26437,33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131862850,5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1491281,13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400633,00</w:t>
            </w: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54621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57909,92985</w:t>
            </w: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26437,33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990524208,1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10817059,56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1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5134514073</w:t>
            </w:r>
          </w:p>
        </w:tc>
        <w:tc>
          <w:tcPr>
            <w:tcW w:w="13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448891861,6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Далее на основе предыдущих вычислений рассчитаем значение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-критерия для </w:t>
      </w:r>
      <w:r>
        <w:rPr>
          <w:sz w:val="28"/>
          <w:szCs w:val="28"/>
          <w:lang w:val="en-US"/>
        </w:rPr>
        <w:t>Vrp</w:t>
      </w:r>
      <w:r>
        <w:rPr>
          <w:sz w:val="28"/>
          <w:szCs w:val="28"/>
        </w:rPr>
        <w:t>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486785" cy="462280"/>
            <wp:effectExtent l="1905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785" cy="462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245485" cy="452120"/>
            <wp:effectExtent l="19050" t="0" r="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485" cy="45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уровне значимости </w:t>
      </w:r>
      <w:r>
        <w:rPr>
          <w:rFonts w:ascii="Times New Roman" w:hAnsi="Times New Roman" w:cs="Times New Roman"/>
          <w:i/>
          <w:iCs/>
          <w:sz w:val="28"/>
          <w:szCs w:val="28"/>
        </w:rPr>
        <w:t>α = 0,05</w:t>
      </w:r>
      <w:r>
        <w:rPr>
          <w:sz w:val="28"/>
          <w:szCs w:val="28"/>
        </w:rPr>
        <w:t xml:space="preserve">, степенях свободы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1</w:t>
      </w:r>
      <w:r>
        <w:rPr>
          <w:sz w:val="28"/>
          <w:szCs w:val="28"/>
        </w:rPr>
        <w:t xml:space="preserve"> = 1 и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2</w:t>
      </w:r>
      <w:r>
        <w:rPr>
          <w:sz w:val="28"/>
          <w:szCs w:val="28"/>
        </w:rPr>
        <w:t xml:space="preserve"> = 15 табличное критическое значение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-критерия Фишера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крит= 4,54</w:t>
      </w:r>
      <w:r>
        <w:rPr>
          <w:sz w:val="28"/>
          <w:szCs w:val="28"/>
        </w:rPr>
        <w:t xml:space="preserve">. Наблюдаемое значение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>-критерия выше критического табли</w:t>
      </w:r>
      <w:r>
        <w:rPr>
          <w:sz w:val="28"/>
          <w:szCs w:val="28"/>
        </w:rPr>
        <w:t>чного, соответственно можно сделать вывод о необходимости учета фактора прироста населения в регрессионном уравнении.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Аналогичным образом произведем расчеты для остальных независимых параметров. Результаты вычисления представлены в Таблице.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10</w:t>
      </w:r>
      <w:r>
        <w:rPr>
          <w:i/>
          <w:iCs/>
          <w:sz w:val="28"/>
          <w:szCs w:val="28"/>
        </w:rPr>
        <w:t xml:space="preserve"> -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-критерий для факторов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2992"/>
        <w:gridCol w:w="1393"/>
        <w:gridCol w:w="1285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Фактор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Freal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F</w:t>
            </w:r>
            <w:r>
              <w:rPr>
                <w:sz w:val="20"/>
                <w:szCs w:val="20"/>
              </w:rPr>
              <w:t>крит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Vrp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171,5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Income_n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23,</w:t>
            </w:r>
            <w:r>
              <w:rPr>
                <w:sz w:val="20"/>
                <w:szCs w:val="20"/>
              </w:rPr>
              <w:t>903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Pop_inc_n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5,923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Inflation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0,546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House_n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0,391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Investments_n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0,150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Unemployment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0,078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основе прямого отбора были исключены следующие независим</w:t>
      </w:r>
      <w:r>
        <w:rPr>
          <w:sz w:val="28"/>
          <w:szCs w:val="28"/>
        </w:rPr>
        <w:t xml:space="preserve">ые переменные: </w:t>
      </w:r>
      <w:r>
        <w:rPr>
          <w:sz w:val="28"/>
          <w:szCs w:val="28"/>
          <w:lang w:val="en-US"/>
        </w:rPr>
        <w:t>Inflation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House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Investments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Unemployment</w:t>
      </w:r>
      <w:r>
        <w:rPr>
          <w:sz w:val="28"/>
          <w:szCs w:val="28"/>
        </w:rPr>
        <w:t xml:space="preserve"> (значение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-критерия меньше критического). Результат построение модели представлен на Рисунке 32.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-квадрат данной модели равен 0,96.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832985" cy="1959610"/>
            <wp:effectExtent l="19050" t="0" r="5715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985" cy="195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32</w:t>
      </w:r>
      <w:r>
        <w:rPr>
          <w:i/>
          <w:iCs/>
          <w:sz w:val="28"/>
          <w:szCs w:val="28"/>
        </w:rPr>
        <w:t xml:space="preserve"> - Коэффициенты модели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Далее проверим модель на логарифмическую зависимость - в качестве зависимой переменной будет выступать натуральный логарифм цены (Рисунок 33). Качество модели несколько улучшилось,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-ква</w:t>
      </w:r>
      <w:r>
        <w:rPr>
          <w:sz w:val="28"/>
          <w:szCs w:val="28"/>
        </w:rPr>
        <w:t>драт равен 0,97.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923790" cy="2080260"/>
            <wp:effectExtent l="1905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790" cy="2080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33</w:t>
      </w:r>
      <w:r>
        <w:rPr>
          <w:i/>
          <w:iCs/>
          <w:sz w:val="28"/>
          <w:szCs w:val="28"/>
        </w:rPr>
        <w:t xml:space="preserve"> - Коэффициенты модели с логарифмической зависимостью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Автокорреляция в данной модели присутствует, данный вывод был сделан на основе статистики Дарбина-Уотсона, которая рассчитывается стати</w:t>
      </w:r>
      <w:r>
        <w:rPr>
          <w:sz w:val="28"/>
          <w:szCs w:val="28"/>
        </w:rPr>
        <w:t xml:space="preserve">стическим пакетом </w:t>
      </w:r>
      <w:r>
        <w:rPr>
          <w:sz w:val="28"/>
          <w:szCs w:val="28"/>
          <w:lang w:val="en-US"/>
        </w:rPr>
        <w:t>SPSS</w:t>
      </w:r>
      <w:r>
        <w:rPr>
          <w:sz w:val="28"/>
          <w:szCs w:val="28"/>
        </w:rPr>
        <w:t xml:space="preserve"> автоматически. Значение критерия </w:t>
      </w:r>
      <w:r>
        <w:rPr>
          <w:sz w:val="28"/>
          <w:szCs w:val="28"/>
          <w:lang w:val="en-US"/>
        </w:rPr>
        <w:t>DW</w:t>
      </w:r>
      <w:r>
        <w:rPr>
          <w:sz w:val="28"/>
          <w:szCs w:val="28"/>
        </w:rPr>
        <w:t xml:space="preserve"> = 0,418, что меньше табличного </w:t>
      </w:r>
      <w:r>
        <w:rPr>
          <w:sz w:val="28"/>
          <w:szCs w:val="28"/>
          <w:lang w:val="en-US"/>
        </w:rPr>
        <w:t>dL</w:t>
      </w:r>
      <w:r>
        <w:rPr>
          <w:sz w:val="28"/>
          <w:szCs w:val="28"/>
        </w:rPr>
        <w:t>, следовательно, можно сделать вывод о наличии автокорреляции. Для корректировки введем дополнительную переменную лагового значения зависимой переменной (</w:t>
      </w:r>
      <w:r>
        <w:rPr>
          <w:sz w:val="28"/>
          <w:szCs w:val="28"/>
          <w:lang w:val="en-US"/>
        </w:rPr>
        <w:t>ln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pr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lag</w:t>
      </w:r>
      <w:r>
        <w:rPr>
          <w:sz w:val="28"/>
          <w:szCs w:val="28"/>
        </w:rPr>
        <w:t>)</w:t>
      </w:r>
      <w:r>
        <w:rPr>
          <w:sz w:val="28"/>
          <w:szCs w:val="28"/>
        </w:rPr>
        <w:t xml:space="preserve">. Также улучшилось качество модели -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-квадрат принял значение 0,98.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Проведем проверку модели на гетероскедастичность с помощью критерия Бройша-Пагана. Число степеней свободы 4, критерий Бройша-Пагана равен 15,33. Сравнивая величину критерия с табличным зн</w:t>
      </w:r>
      <w:r>
        <w:rPr>
          <w:sz w:val="28"/>
          <w:szCs w:val="28"/>
        </w:rPr>
        <w:t xml:space="preserve">ачением распределения </w:t>
      </w:r>
      <w:r>
        <w:rPr>
          <w:rFonts w:ascii="Times New Roman" w:hAnsi="Times New Roman" w:cs="Times New Roman"/>
          <w:sz w:val="28"/>
          <w:szCs w:val="28"/>
        </w:rPr>
        <w:t xml:space="preserve">χ2 </w:t>
      </w:r>
      <w:r>
        <w:rPr>
          <w:sz w:val="28"/>
          <w:szCs w:val="28"/>
        </w:rPr>
        <w:t>делаем вывод об отсутствии гетероскедастичности.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всех проведенных тестов можно сделать вывод о том, что была получена адекватная модель прогнозирования средней стоимости 1 кв.м. общей площади на первичном рынке жилья Б</w:t>
      </w:r>
      <w:r>
        <w:rPr>
          <w:sz w:val="28"/>
          <w:szCs w:val="28"/>
        </w:rPr>
        <w:t>елгородской области. Общий вид модели представлен ниже.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Ln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pr</w:t>
      </w:r>
      <w:r>
        <w:rPr>
          <w:sz w:val="28"/>
          <w:szCs w:val="28"/>
        </w:rPr>
        <w:t xml:space="preserve"> = 5,185 + 0,155*</w:t>
      </w:r>
      <w:r>
        <w:rPr>
          <w:sz w:val="28"/>
          <w:szCs w:val="28"/>
          <w:lang w:val="en-US"/>
        </w:rPr>
        <w:t>pop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inc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- 0,002*</w:t>
      </w:r>
      <w:r>
        <w:rPr>
          <w:sz w:val="28"/>
          <w:szCs w:val="28"/>
          <w:lang w:val="en-US"/>
        </w:rPr>
        <w:t>income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+ 3,002</w:t>
      </w:r>
      <w:r>
        <w:rPr>
          <w:sz w:val="28"/>
          <w:szCs w:val="28"/>
          <w:lang w:val="en-US"/>
        </w:rPr>
        <w:t>E</w:t>
      </w:r>
      <w:r>
        <w:rPr>
          <w:sz w:val="28"/>
          <w:szCs w:val="28"/>
        </w:rPr>
        <w:t>-6*</w:t>
      </w:r>
      <w:r>
        <w:rPr>
          <w:sz w:val="28"/>
          <w:szCs w:val="28"/>
          <w:lang w:val="en-US"/>
        </w:rPr>
        <w:t>vrp</w:t>
      </w:r>
      <w:r>
        <w:rPr>
          <w:sz w:val="28"/>
          <w:szCs w:val="28"/>
        </w:rPr>
        <w:t xml:space="preserve"> + 0,511*</w:t>
      </w:r>
      <w:r>
        <w:rPr>
          <w:sz w:val="28"/>
          <w:szCs w:val="28"/>
          <w:lang w:val="en-US"/>
        </w:rPr>
        <w:t>ln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pr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lag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Далее выполним ретроспективный прогноз для средней цены 1 кв.м. жилой площади первичного рынка Белгородской области </w:t>
      </w:r>
      <w:r>
        <w:rPr>
          <w:sz w:val="28"/>
          <w:szCs w:val="28"/>
        </w:rPr>
        <w:t>на 2011-2014 гг. Результат представлен в Таблице 11.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11</w:t>
      </w:r>
      <w:r>
        <w:rPr>
          <w:i/>
          <w:iCs/>
          <w:sz w:val="28"/>
          <w:szCs w:val="28"/>
        </w:rPr>
        <w:t xml:space="preserve"> - Прогноз средней стоимости 1 кв.м. жилой площади первичного рынка Тульской области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736"/>
        <w:gridCol w:w="1737"/>
        <w:gridCol w:w="1736"/>
        <w:gridCol w:w="1737"/>
        <w:gridCol w:w="2126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Прогнозное значение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Фактическое значение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Относительная ошибка прогноза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относительная ошибка прогно</w:t>
            </w:r>
            <w:r>
              <w:rPr>
                <w:sz w:val="20"/>
                <w:szCs w:val="20"/>
              </w:rPr>
              <w:t>за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2011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7</w:t>
            </w:r>
            <w:r>
              <w:rPr>
                <w:sz w:val="20"/>
                <w:szCs w:val="20"/>
              </w:rPr>
              <w:t>054,81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40383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7,5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2012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47386,07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48877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3,1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2013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50222,55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52931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5,1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51722,13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54621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5,3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оценки модели был произведен расчет средней ошибки аппроксимации, которая составила 7,5%, что говорит о хорошем качестве прогно</w:t>
      </w:r>
      <w:r>
        <w:rPr>
          <w:sz w:val="28"/>
          <w:szCs w:val="28"/>
        </w:rPr>
        <w:t>зирующей способности модели. Из графика (Рисунок 35) видно, что наиболее точный прогноз модель дает в "спокойные" периоды. Что касается кризисного промежутка 2008-2009 гг., то влияние экономического дисбаланса сказывается на первичном рынке недвижимости Бе</w:t>
      </w:r>
      <w:r>
        <w:rPr>
          <w:sz w:val="28"/>
          <w:szCs w:val="28"/>
        </w:rPr>
        <w:t>лгородской области с запозданием - заметна существенная разница в фактических значениях и прогнозных только через 2-3 года. Тем не менее, после посткризисной ситуации прогноз дает эффективные оценки - прогноз "выравнивается" к 2012 г.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034280" cy="2512060"/>
            <wp:effectExtent l="1905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280" cy="251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lastRenderedPageBreak/>
        <w:t xml:space="preserve">Рисунок </w:t>
      </w:r>
      <w:r>
        <w:rPr>
          <w:i/>
          <w:iCs/>
          <w:noProof/>
          <w:sz w:val="28"/>
          <w:szCs w:val="28"/>
        </w:rPr>
        <w:t>35</w:t>
      </w:r>
      <w:r>
        <w:rPr>
          <w:i/>
          <w:iCs/>
          <w:sz w:val="28"/>
          <w:szCs w:val="28"/>
        </w:rPr>
        <w:t xml:space="preserve"> - График фактических и прогнозных цен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В результате построения было выявлено, что из всего перечня выделенных изначально факторов влияние на средние цены Белгородской области оказывают только естественный прирост населения, ВРП и</w:t>
      </w:r>
      <w:r>
        <w:rPr>
          <w:sz w:val="28"/>
          <w:szCs w:val="28"/>
        </w:rPr>
        <w:t xml:space="preserve"> среднедушевые доходы населения.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Положительный коэффициент при приросте населения говорит о том, что с увеличением численности населения средние цены неизменно растут. Рост ВРП также ведет к увеличению цен на объекты недвижимости.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Наличие лага зависимой пе</w:t>
      </w:r>
      <w:r>
        <w:rPr>
          <w:sz w:val="28"/>
          <w:szCs w:val="28"/>
        </w:rPr>
        <w:t>ременной говорит о влиянии цены предыдущего периода на цены текущего, причем наблюдаемая зависимость положительная.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.2.2 Регрессионная модель Воронежской области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Построение модели будем вести аналогичным образом, описанном в разделе выше. Выполним анализ </w:t>
      </w:r>
      <w:r>
        <w:rPr>
          <w:sz w:val="28"/>
          <w:szCs w:val="28"/>
        </w:rPr>
        <w:t>парных корреляций. Корреляционная матрица представлена на Рисунке 36.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933950" cy="3054985"/>
            <wp:effectExtent l="1905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054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36</w:t>
      </w:r>
      <w:r>
        <w:rPr>
          <w:i/>
          <w:iCs/>
          <w:sz w:val="28"/>
          <w:szCs w:val="28"/>
        </w:rPr>
        <w:t xml:space="preserve"> - Парные корреляции факторов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Высокая корреляция наблюдается между валовым региональным продуктом (ВРП), среднедушевым доходом, инвестици</w:t>
      </w:r>
      <w:r>
        <w:rPr>
          <w:sz w:val="28"/>
          <w:szCs w:val="28"/>
        </w:rPr>
        <w:t>ями в основной капитал. После избавления от тренда корреляционная зависимость так же наблюдалась. В связи с этим из дальнейшего исследования были исключены факторы, отвечающие за инвестиции и ВРП, для исключения дальнейшей мультиколлинеарности.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Также высок</w:t>
      </w:r>
      <w:r>
        <w:rPr>
          <w:sz w:val="28"/>
          <w:szCs w:val="28"/>
        </w:rPr>
        <w:t>ая корреляция присутствует между среднедушевыми доходами и вводом в действие жилых домов. Здесь наблюдается тенденция к увеличению, делаем вывод о наличии временной зависимости и проводим операцию избавления от тренда. Новые переменный, выражающие ввод в д</w:t>
      </w:r>
      <w:r>
        <w:rPr>
          <w:sz w:val="28"/>
          <w:szCs w:val="28"/>
        </w:rPr>
        <w:t xml:space="preserve">ействие жилых домов и среднедушевые доходы без тренда, обозначены как </w:t>
      </w:r>
      <w:r>
        <w:rPr>
          <w:sz w:val="28"/>
          <w:szCs w:val="28"/>
          <w:lang w:val="en-US"/>
        </w:rPr>
        <w:t>House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Income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соответственно.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Новая корреляционная матрица представлена на Рисунке 37, все корреляции ниже 0.75, следовательно, данные переменные можно использовать для регрессионно</w:t>
      </w:r>
      <w:r>
        <w:rPr>
          <w:sz w:val="28"/>
          <w:szCs w:val="28"/>
        </w:rPr>
        <w:t>й модели.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933950" cy="2903855"/>
            <wp:effectExtent l="1905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903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37</w:t>
      </w:r>
      <w:r>
        <w:rPr>
          <w:i/>
          <w:iCs/>
          <w:sz w:val="28"/>
          <w:szCs w:val="28"/>
        </w:rPr>
        <w:t xml:space="preserve"> - Парные корреляции факторов после избавления от корреляций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Проведем отбор факторов. Показатели корреляции средней цены 1 кв.м. и независимых переменных представлены в Таблице 12.</w:t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br w:type="page"/>
      </w:r>
      <w:r>
        <w:rPr>
          <w:i/>
          <w:iCs/>
          <w:sz w:val="28"/>
          <w:szCs w:val="28"/>
        </w:rPr>
        <w:lastRenderedPageBreak/>
        <w:t xml:space="preserve">Таблица </w:t>
      </w:r>
      <w:r>
        <w:rPr>
          <w:i/>
          <w:iCs/>
          <w:noProof/>
          <w:sz w:val="28"/>
          <w:szCs w:val="28"/>
        </w:rPr>
        <w:t>12</w:t>
      </w:r>
      <w:r>
        <w:rPr>
          <w:i/>
          <w:iCs/>
          <w:sz w:val="28"/>
          <w:szCs w:val="28"/>
        </w:rPr>
        <w:t xml:space="preserve"> - Ко</w:t>
      </w:r>
      <w:r>
        <w:rPr>
          <w:i/>
          <w:iCs/>
          <w:sz w:val="28"/>
          <w:szCs w:val="28"/>
        </w:rPr>
        <w:t>рреляция средней цены и факторов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748"/>
        <w:gridCol w:w="192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Price_1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Pop_inc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0,911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Unemployment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-0,842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Inflation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0,</w:t>
            </w:r>
            <w:r>
              <w:rPr>
                <w:sz w:val="20"/>
                <w:szCs w:val="20"/>
              </w:rPr>
              <w:t>539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House_n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0,061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Income</w:t>
            </w:r>
            <w:r>
              <w:rPr>
                <w:sz w:val="20"/>
                <w:szCs w:val="20"/>
                <w:lang w:val="en-US"/>
              </w:rPr>
              <w:t>_n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0,027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Рассчитаем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>-критерий для каждого из независимых факторов. Результаты расчетов представлены в Таблице 13. При уровне значимости</w:t>
      </w:r>
      <w:r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α = 0,05</w:t>
      </w:r>
      <w:r>
        <w:rPr>
          <w:sz w:val="28"/>
          <w:szCs w:val="28"/>
        </w:rPr>
        <w:t xml:space="preserve">, степенях свободы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1</w:t>
      </w:r>
      <w:r>
        <w:rPr>
          <w:sz w:val="28"/>
          <w:szCs w:val="28"/>
        </w:rPr>
        <w:t xml:space="preserve"> = 1 и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2</w:t>
      </w:r>
      <w:r>
        <w:rPr>
          <w:sz w:val="28"/>
          <w:szCs w:val="28"/>
        </w:rPr>
        <w:t xml:space="preserve"> = 15 табличное критическое значение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-критерия Фишера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крит= 4,54</w:t>
      </w:r>
      <w:r>
        <w:rPr>
          <w:sz w:val="28"/>
          <w:szCs w:val="28"/>
        </w:rPr>
        <w:t>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13</w:t>
      </w:r>
      <w:r>
        <w:rPr>
          <w:i/>
          <w:iCs/>
          <w:sz w:val="28"/>
          <w:szCs w:val="28"/>
        </w:rPr>
        <w:t xml:space="preserve"> -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-критерий для факторов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2992"/>
        <w:gridCol w:w="1393"/>
        <w:gridCol w:w="1285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Фактор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Freal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F</w:t>
            </w:r>
            <w:r>
              <w:rPr>
                <w:sz w:val="20"/>
                <w:szCs w:val="20"/>
              </w:rPr>
              <w:t>крит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Pop_inc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73,50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Unemployment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36,676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Inflation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6,142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House</w:t>
            </w:r>
            <w:r>
              <w:rPr>
                <w:sz w:val="20"/>
                <w:szCs w:val="20"/>
              </w:rPr>
              <w:t>_</w:t>
            </w:r>
            <w:r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0,056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Income_</w:t>
            </w:r>
            <w:r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0,011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основе прямого отбора были исключены следующие независимые переменные: </w:t>
      </w:r>
      <w:r>
        <w:rPr>
          <w:sz w:val="28"/>
          <w:szCs w:val="28"/>
          <w:lang w:val="en-US"/>
        </w:rPr>
        <w:t>House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Income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(значение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-критерия меньше критического). Результат построение модели представлен на Рисунке 38.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-квадрат данной модели равен 0,96.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782820" cy="1828800"/>
            <wp:effectExtent l="1905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282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38</w:t>
      </w:r>
      <w:r>
        <w:rPr>
          <w:i/>
          <w:iCs/>
          <w:sz w:val="28"/>
          <w:szCs w:val="28"/>
        </w:rPr>
        <w:t xml:space="preserve"> - Коэффициенты модели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Улучшения качества при логарифмировании цены не выявлено.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Значение критерия </w:t>
      </w:r>
      <w:r>
        <w:rPr>
          <w:sz w:val="28"/>
          <w:szCs w:val="28"/>
          <w:lang w:val="en-US"/>
        </w:rPr>
        <w:t>DW</w:t>
      </w:r>
      <w:r>
        <w:rPr>
          <w:sz w:val="28"/>
          <w:szCs w:val="28"/>
        </w:rPr>
        <w:t xml:space="preserve"> = 0,807, что меньше табличного </w:t>
      </w:r>
      <w:r>
        <w:rPr>
          <w:sz w:val="28"/>
          <w:szCs w:val="28"/>
          <w:lang w:val="en-US"/>
        </w:rPr>
        <w:t>dL</w:t>
      </w:r>
      <w:r>
        <w:rPr>
          <w:sz w:val="28"/>
          <w:szCs w:val="28"/>
        </w:rPr>
        <w:t>, следовательно, можно сделать вывод о наличии автокорреляции. Введем лаговую пер</w:t>
      </w:r>
      <w:r>
        <w:rPr>
          <w:sz w:val="28"/>
          <w:szCs w:val="28"/>
        </w:rPr>
        <w:t>еменную зависимого фактора цены (</w:t>
      </w:r>
      <w:r>
        <w:rPr>
          <w:sz w:val="28"/>
          <w:szCs w:val="28"/>
          <w:lang w:val="en-US"/>
        </w:rPr>
        <w:t>price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lag</w:t>
      </w:r>
      <w:r>
        <w:rPr>
          <w:sz w:val="28"/>
          <w:szCs w:val="28"/>
        </w:rPr>
        <w:t>). Качество модели улучшилось - коэффициент детерминации достиг 0,99.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Проведем проверку модели на гетероскедастичность с помощью критерия Бройша-Пагана. Число степеней свободы 4, критерий Бройша-Пагана равен 8,2. С</w:t>
      </w:r>
      <w:r>
        <w:rPr>
          <w:sz w:val="28"/>
          <w:szCs w:val="28"/>
        </w:rPr>
        <w:t xml:space="preserve">равнивая величину критерия с табличным значением распределения </w:t>
      </w:r>
      <w:r>
        <w:rPr>
          <w:rFonts w:ascii="Times New Roman" w:hAnsi="Times New Roman" w:cs="Times New Roman"/>
          <w:sz w:val="28"/>
          <w:szCs w:val="28"/>
        </w:rPr>
        <w:t xml:space="preserve">χ2 </w:t>
      </w:r>
      <w:r>
        <w:rPr>
          <w:sz w:val="28"/>
          <w:szCs w:val="28"/>
        </w:rPr>
        <w:t>делаем вывод об отсутствии гетероскедастичности.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 результате всех проведенных тестов можно сделать вывод о том, что была получена адекватная модель прогнозирования средней стоимости 1 кв.м</w:t>
      </w:r>
      <w:r>
        <w:rPr>
          <w:sz w:val="28"/>
          <w:szCs w:val="28"/>
        </w:rPr>
        <w:t>. общей площади на первичном рынке жилья Воронежской области. Общий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вид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модели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представлен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ниже</w:t>
      </w:r>
      <w:r>
        <w:rPr>
          <w:sz w:val="28"/>
          <w:szCs w:val="28"/>
          <w:lang w:val="en-US"/>
        </w:rPr>
        <w:t>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_1 = 15985,5 - 77,8*pop_inc + 115,8*inflation - 1736,4*unemployment + 0,9*price_lag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Далее выполним ретроспективный прогноз для средней цены 1 кв.м. жилой площ</w:t>
      </w:r>
      <w:r>
        <w:rPr>
          <w:sz w:val="28"/>
          <w:szCs w:val="28"/>
        </w:rPr>
        <w:t>ади первичного рынка Воронежской области на 2011-2014 гг. Результат представлен в Таблице 39.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39</w:t>
      </w:r>
      <w:r>
        <w:rPr>
          <w:i/>
          <w:iCs/>
          <w:sz w:val="28"/>
          <w:szCs w:val="28"/>
        </w:rPr>
        <w:t xml:space="preserve"> - Прогноз средней стоимости 1 кв.м. жилой площади первичного рынка</w:t>
      </w:r>
      <w:r>
        <w:rPr>
          <w:i/>
          <w:iCs/>
          <w:noProof/>
          <w:sz w:val="28"/>
          <w:szCs w:val="28"/>
        </w:rPr>
        <w:t xml:space="preserve"> Воронежской области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736"/>
        <w:gridCol w:w="1737"/>
        <w:gridCol w:w="1736"/>
        <w:gridCol w:w="1737"/>
        <w:gridCol w:w="2126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Прогнозное значение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Фактическое значение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Относительная ошибка </w:t>
            </w:r>
            <w:r>
              <w:rPr>
                <w:sz w:val="20"/>
                <w:szCs w:val="20"/>
              </w:rPr>
              <w:t>прогноза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относительная ошибка прогноза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2011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36573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35134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2012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38040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40241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2013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43852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41773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46096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44741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Средняя ошибка аппроксимации составила 4,4%, что говорит о высоком качестве прогнозирующей способнос</w:t>
      </w:r>
      <w:r>
        <w:rPr>
          <w:sz w:val="28"/>
          <w:szCs w:val="28"/>
        </w:rPr>
        <w:t xml:space="preserve">ти модели. Из графика (Рисунок 40) видно, что наибольшее несоответствие фактических и прогнозных значений наблюдается в посткризисный период, аналогично модели, построенной выше </w:t>
      </w:r>
      <w:r>
        <w:rPr>
          <w:sz w:val="28"/>
          <w:szCs w:val="28"/>
        </w:rPr>
        <w:lastRenderedPageBreak/>
        <w:t>для Белгородской области. Тем не менее, в данном случае в силу использования и</w:t>
      </w:r>
      <w:r>
        <w:rPr>
          <w:sz w:val="28"/>
          <w:szCs w:val="28"/>
        </w:rPr>
        <w:t>ных показателей по сравнению с предыдущей моделью, прогноз получается более точный.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933950" cy="2552065"/>
            <wp:effectExtent l="1905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552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40</w:t>
      </w:r>
      <w:r>
        <w:rPr>
          <w:i/>
          <w:iCs/>
          <w:sz w:val="28"/>
          <w:szCs w:val="28"/>
        </w:rPr>
        <w:t xml:space="preserve"> - График фактических и прогнозных цен для Воронежской области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результате построения было выявлено, что из всего перечня </w:t>
      </w:r>
      <w:r>
        <w:rPr>
          <w:sz w:val="28"/>
          <w:szCs w:val="28"/>
        </w:rPr>
        <w:t>выделенных изначально факторов влияние на средние цены Белгородской области оказывают только естественный прирост населения, инфляция и уровень безработицы.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ростом уровня инфляции наблюдается рост цен, что является закономерным процессом. Рост безработиц</w:t>
      </w:r>
      <w:r>
        <w:rPr>
          <w:sz w:val="28"/>
          <w:szCs w:val="28"/>
        </w:rPr>
        <w:t>ы стимулирует падение цен, так как вместе с ростом числа безработных падают и платежеспособность населения.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Наличие лага зависимой переменной говорит о влиянии цены предыдущего периода на цены текущего, причем наблюдаемая зависимость положительная.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 xml:space="preserve">3.2.3 </w:t>
      </w:r>
      <w:r>
        <w:rPr>
          <w:b/>
          <w:bCs/>
          <w:sz w:val="28"/>
          <w:szCs w:val="28"/>
        </w:rPr>
        <w:t>Регрессионная модель Тульской области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Выполним анализ парных корреляций. Корреляционная матрица представлена на Рисунке 41.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65750" cy="3386455"/>
            <wp:effectExtent l="19050" t="0" r="635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0" cy="3386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41</w:t>
      </w:r>
      <w:r>
        <w:rPr>
          <w:i/>
          <w:iCs/>
          <w:sz w:val="28"/>
          <w:szCs w:val="28"/>
        </w:rPr>
        <w:t xml:space="preserve"> - Парные корреляции факторов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Высокая корреляция наблюдается между валовым регионал</w:t>
      </w:r>
      <w:r>
        <w:rPr>
          <w:sz w:val="28"/>
          <w:szCs w:val="28"/>
        </w:rPr>
        <w:t>ьным продуктом (ВРП), среднедушевым доходом, инвестициями в основной капитал. Было произведено избавления от тренда в переменных инвестиций и ВРП, фактор доходов был исключен из дальнейшего исследования на основании сохранения высокой корреляции.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Новая кор</w:t>
      </w:r>
      <w:r>
        <w:rPr>
          <w:sz w:val="28"/>
          <w:szCs w:val="28"/>
        </w:rPr>
        <w:t>реляционная матрица представлена на Рисунке 42, данные переменные можно использовать для регрессионной модели.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5365750" cy="3215640"/>
            <wp:effectExtent l="19050" t="0" r="635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0" cy="321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42</w:t>
      </w:r>
      <w:r>
        <w:rPr>
          <w:i/>
          <w:iCs/>
          <w:sz w:val="28"/>
          <w:szCs w:val="28"/>
        </w:rPr>
        <w:t xml:space="preserve"> - Парные корреляции факторов после избавления от корреляций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Проведем отбор факторов. Показател</w:t>
      </w:r>
      <w:r>
        <w:rPr>
          <w:sz w:val="28"/>
          <w:szCs w:val="28"/>
        </w:rPr>
        <w:t>и корреляции средней цены 1 кв.м. и независимых переменных представлены в Таблице 14.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Таблица </w:t>
      </w:r>
      <w:r>
        <w:rPr>
          <w:i/>
          <w:iCs/>
          <w:noProof/>
          <w:sz w:val="28"/>
          <w:szCs w:val="28"/>
        </w:rPr>
        <w:t>14</w:t>
      </w:r>
      <w:r>
        <w:rPr>
          <w:i/>
          <w:iCs/>
          <w:sz w:val="28"/>
          <w:szCs w:val="28"/>
        </w:rPr>
        <w:t xml:space="preserve"> - Корреляция средней цены и факторов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748"/>
        <w:gridCol w:w="1922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Price_1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Pop_inc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House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0,</w:t>
            </w:r>
            <w:r>
              <w:rPr>
                <w:sz w:val="20"/>
                <w:szCs w:val="20"/>
                <w:lang w:val="en-US"/>
              </w:rPr>
              <w:t>818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Unemployment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0,619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Vrp_n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-0,558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Inflation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0,073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3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Investments_n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0,0</w:t>
            </w:r>
            <w:r>
              <w:rPr>
                <w:sz w:val="20"/>
                <w:szCs w:val="20"/>
                <w:lang w:val="en-US"/>
              </w:rPr>
              <w:t>20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Рассчитае</w:t>
      </w:r>
      <w:r>
        <w:rPr>
          <w:sz w:val="28"/>
          <w:szCs w:val="28"/>
        </w:rPr>
        <w:t xml:space="preserve">м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-критерий для каждого из независимых факторов. Результаты расчетов представлены в Таблице 15. При уровне значимости </w:t>
      </w:r>
      <w:r>
        <w:rPr>
          <w:rFonts w:ascii="Times New Roman" w:hAnsi="Times New Roman" w:cs="Times New Roman"/>
          <w:i/>
          <w:iCs/>
          <w:sz w:val="28"/>
          <w:szCs w:val="28"/>
        </w:rPr>
        <w:t>α = 0,05</w:t>
      </w:r>
      <w:r>
        <w:rPr>
          <w:sz w:val="28"/>
          <w:szCs w:val="28"/>
        </w:rPr>
        <w:t xml:space="preserve">, степенях свободы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1</w:t>
      </w:r>
      <w:r>
        <w:rPr>
          <w:sz w:val="28"/>
          <w:szCs w:val="28"/>
        </w:rPr>
        <w:t xml:space="preserve"> = 1 и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2</w:t>
      </w:r>
      <w:r>
        <w:rPr>
          <w:sz w:val="28"/>
          <w:szCs w:val="28"/>
        </w:rPr>
        <w:t xml:space="preserve"> = 15 табличное критическое значение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-критерия Фишера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крит= 4,54</w:t>
      </w:r>
      <w:r>
        <w:rPr>
          <w:sz w:val="28"/>
          <w:szCs w:val="28"/>
        </w:rPr>
        <w:t>.</w:t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br w:type="page"/>
      </w:r>
      <w:r>
        <w:rPr>
          <w:i/>
          <w:iCs/>
          <w:sz w:val="28"/>
          <w:szCs w:val="28"/>
        </w:rPr>
        <w:lastRenderedPageBreak/>
        <w:t xml:space="preserve">Таблица </w:t>
      </w:r>
      <w:r>
        <w:rPr>
          <w:i/>
          <w:iCs/>
          <w:noProof/>
          <w:sz w:val="28"/>
          <w:szCs w:val="28"/>
        </w:rPr>
        <w:t>15</w:t>
      </w:r>
      <w:r>
        <w:rPr>
          <w:i/>
          <w:iCs/>
          <w:sz w:val="28"/>
          <w:szCs w:val="28"/>
        </w:rPr>
        <w:t xml:space="preserve"> - </w:t>
      </w:r>
      <w:r>
        <w:rPr>
          <w:i/>
          <w:iCs/>
          <w:sz w:val="28"/>
          <w:szCs w:val="28"/>
          <w:lang w:val="en-US"/>
        </w:rPr>
        <w:t>F</w:t>
      </w:r>
      <w:r>
        <w:rPr>
          <w:i/>
          <w:iCs/>
          <w:sz w:val="28"/>
          <w:szCs w:val="28"/>
        </w:rPr>
        <w:t>-критерий для фа</w:t>
      </w:r>
      <w:r>
        <w:rPr>
          <w:i/>
          <w:iCs/>
          <w:sz w:val="28"/>
          <w:szCs w:val="28"/>
        </w:rPr>
        <w:t>кторов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2992"/>
        <w:gridCol w:w="1393"/>
        <w:gridCol w:w="1285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Фактор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Freal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F</w:t>
            </w:r>
            <w:r>
              <w:rPr>
                <w:sz w:val="20"/>
                <w:szCs w:val="20"/>
              </w:rPr>
              <w:t>крит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Pop_inc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40,447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House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30,370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Unemployment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9,307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Vrp_n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6,786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Inflation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0,080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2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Investments_n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0,006</w:t>
            </w: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основе прямого отбора были исключены следующие независимые переменные: </w:t>
      </w:r>
      <w:r>
        <w:rPr>
          <w:sz w:val="28"/>
          <w:szCs w:val="28"/>
          <w:lang w:val="en-US"/>
        </w:rPr>
        <w:t>Inflation</w:t>
      </w:r>
      <w:r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Investments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(значение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-критерия меньше критического). Результат построение модели представлен на Рисунке 43.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-квадрат данной модели равен 0,95.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83139E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124450" cy="2200275"/>
            <wp:effectExtent l="1905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43</w:t>
      </w:r>
      <w:r>
        <w:rPr>
          <w:i/>
          <w:iCs/>
          <w:sz w:val="28"/>
          <w:szCs w:val="28"/>
        </w:rPr>
        <w:t xml:space="preserve"> - Коэффициенты модели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Улучшения качества модели при логарифмировании цены не выявлено.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Автокорреляция в данной модели отсутствует, значение критерия </w:t>
      </w:r>
      <w:r>
        <w:rPr>
          <w:sz w:val="28"/>
          <w:szCs w:val="28"/>
          <w:lang w:val="en-US"/>
        </w:rPr>
        <w:t>DW</w:t>
      </w:r>
      <w:r>
        <w:rPr>
          <w:sz w:val="28"/>
          <w:szCs w:val="28"/>
        </w:rPr>
        <w:t xml:space="preserve"> = 0,73, что меньше табличного </w:t>
      </w:r>
      <w:r>
        <w:rPr>
          <w:sz w:val="28"/>
          <w:szCs w:val="28"/>
          <w:lang w:val="en-US"/>
        </w:rPr>
        <w:t>dL</w:t>
      </w:r>
      <w:r>
        <w:rPr>
          <w:sz w:val="28"/>
          <w:szCs w:val="28"/>
        </w:rPr>
        <w:t>, следовательно, можно с</w:t>
      </w:r>
      <w:r>
        <w:rPr>
          <w:sz w:val="28"/>
          <w:szCs w:val="28"/>
        </w:rPr>
        <w:t>делать вывод об наличии автокорреляции. Введем лаговую переменную зависимого фактора. За счет введения лаговой переменной удалось также улучшить качество модели, значение коэффициента детерминации достигло 0,98.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Проведем проверку модели на гетероскедастичн</w:t>
      </w:r>
      <w:r>
        <w:rPr>
          <w:sz w:val="28"/>
          <w:szCs w:val="28"/>
        </w:rPr>
        <w:t xml:space="preserve">ость с помощью критерия Бройша-Пагана. Число степеней свободы 5, критерий Бройша-Пагана равен 14,6. Сравнивая величину критерия с табличным значением распределения </w:t>
      </w:r>
      <w:r>
        <w:rPr>
          <w:rFonts w:ascii="Times New Roman" w:hAnsi="Times New Roman" w:cs="Times New Roman"/>
          <w:sz w:val="28"/>
          <w:szCs w:val="28"/>
        </w:rPr>
        <w:t xml:space="preserve">χ2 </w:t>
      </w:r>
      <w:r>
        <w:rPr>
          <w:sz w:val="28"/>
          <w:szCs w:val="28"/>
        </w:rPr>
        <w:lastRenderedPageBreak/>
        <w:t>делаем вывод об отсутствии гетероскедастичности.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всех проведенных тестов мож</w:t>
      </w:r>
      <w:r>
        <w:rPr>
          <w:sz w:val="28"/>
          <w:szCs w:val="28"/>
        </w:rPr>
        <w:t>но сделать вывод о том, что была получена адекватная модель прогнозирования средней стоимости 1 кв.м. общей площади на первичном рынке жилья Тульской области. Общий вид модели представлен ниже.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Price</w:t>
      </w:r>
      <w:r>
        <w:rPr>
          <w:sz w:val="28"/>
          <w:szCs w:val="28"/>
        </w:rPr>
        <w:t>_1 = -2005,3 - 859,8*</w:t>
      </w:r>
      <w:r>
        <w:rPr>
          <w:sz w:val="28"/>
          <w:szCs w:val="28"/>
          <w:lang w:val="en-US"/>
        </w:rPr>
        <w:t>pop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inc</w:t>
      </w:r>
      <w:r>
        <w:rPr>
          <w:sz w:val="28"/>
          <w:szCs w:val="28"/>
        </w:rPr>
        <w:t xml:space="preserve"> - 1074,1*</w:t>
      </w:r>
      <w:r>
        <w:rPr>
          <w:sz w:val="28"/>
          <w:szCs w:val="28"/>
          <w:lang w:val="en-US"/>
        </w:rPr>
        <w:t>unemployment</w:t>
      </w:r>
      <w:r>
        <w:rPr>
          <w:sz w:val="28"/>
          <w:szCs w:val="28"/>
        </w:rPr>
        <w:t xml:space="preserve"> + 12,</w:t>
      </w:r>
      <w:r>
        <w:rPr>
          <w:sz w:val="28"/>
          <w:szCs w:val="28"/>
        </w:rPr>
        <w:t>7*</w:t>
      </w:r>
      <w:r>
        <w:rPr>
          <w:sz w:val="28"/>
          <w:szCs w:val="28"/>
          <w:lang w:val="en-US"/>
        </w:rPr>
        <w:t>house</w:t>
      </w:r>
      <w:r>
        <w:rPr>
          <w:sz w:val="28"/>
          <w:szCs w:val="28"/>
        </w:rPr>
        <w:t xml:space="preserve"> + 0,068*</w:t>
      </w:r>
      <w:r>
        <w:rPr>
          <w:sz w:val="28"/>
          <w:szCs w:val="28"/>
          <w:lang w:val="en-US"/>
        </w:rPr>
        <w:t>vrp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+ 0,968*</w:t>
      </w:r>
      <w:r>
        <w:rPr>
          <w:sz w:val="28"/>
          <w:szCs w:val="28"/>
          <w:lang w:val="en-US"/>
        </w:rPr>
        <w:t>lag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Далее выполним ретроспективный прогноз для средней цены 1 кв.м. жилой площади первичного рынка Тульской области на 2011-2014 гг. Результат представлен в Таблице 44.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44</w:t>
      </w:r>
      <w:r>
        <w:rPr>
          <w:i/>
          <w:iCs/>
          <w:sz w:val="28"/>
          <w:szCs w:val="28"/>
        </w:rPr>
        <w:t xml:space="preserve"> - Прогноз средней стоимости 1 кв.м. жилой пл</w:t>
      </w:r>
      <w:r>
        <w:rPr>
          <w:i/>
          <w:iCs/>
          <w:sz w:val="28"/>
          <w:szCs w:val="28"/>
        </w:rPr>
        <w:t>ощади первичного рынка</w:t>
      </w:r>
      <w:r>
        <w:rPr>
          <w:i/>
          <w:iCs/>
          <w:noProof/>
          <w:sz w:val="28"/>
          <w:szCs w:val="28"/>
        </w:rPr>
        <w:t xml:space="preserve"> Тульской области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736"/>
        <w:gridCol w:w="1737"/>
        <w:gridCol w:w="1736"/>
        <w:gridCol w:w="1737"/>
        <w:gridCol w:w="2126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Прогнозное значение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Фактическое значение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Относительная ошибка прогноза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относительная ошибка прогноза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2011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40219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42152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2,7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2012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42283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41795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2013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45386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44597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 г.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50646</w:t>
            </w:r>
          </w:p>
        </w:tc>
        <w:tc>
          <w:tcPr>
            <w:tcW w:w="17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48995</w:t>
            </w:r>
          </w:p>
        </w:tc>
        <w:tc>
          <w:tcPr>
            <w:tcW w:w="1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Средняя ошибка аппроксимации составила 2,7%, что говорит о высоком качестве прогнозирующей способности модели. Из графика (Рисунок 45) видно, что в данном случае наибольшее несоответствие фактических и прогнозных значений наблюдается как раз в кризисный</w:t>
      </w:r>
      <w:r>
        <w:rPr>
          <w:sz w:val="28"/>
          <w:szCs w:val="28"/>
        </w:rPr>
        <w:t xml:space="preserve"> период 2008-2010 гг., такое поведение можно объяснить выбором факторов, которые показывают моментальную реакцию на кризисный дисбаланс.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3139E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4953635" cy="2893695"/>
            <wp:effectExtent l="1905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635" cy="289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Рисунок </w:t>
      </w:r>
      <w:r>
        <w:rPr>
          <w:i/>
          <w:iCs/>
          <w:noProof/>
          <w:sz w:val="28"/>
          <w:szCs w:val="28"/>
        </w:rPr>
        <w:t>45</w:t>
      </w:r>
      <w:r>
        <w:rPr>
          <w:i/>
          <w:iCs/>
          <w:sz w:val="28"/>
          <w:szCs w:val="28"/>
        </w:rPr>
        <w:t xml:space="preserve"> - График фактических и прогнозных цен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построения было в</w:t>
      </w:r>
      <w:r>
        <w:rPr>
          <w:sz w:val="28"/>
          <w:szCs w:val="28"/>
        </w:rPr>
        <w:t>ыявлено, что из всего перечня выделенных изначально факторов влияние на средние цены Тульской области оказывают только естественный прирост населения, уровень безработицы, ВРП и ввод в действие жилых домов.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Положительное влияние на рост цен оказывают ВРП и</w:t>
      </w:r>
      <w:r>
        <w:rPr>
          <w:sz w:val="28"/>
          <w:szCs w:val="28"/>
        </w:rPr>
        <w:t xml:space="preserve"> ввод в действие жилых домов. Рост безработицы стимулирует падение цен, так как вместе с ростом числа безработных падают и платежеспособность населения. Прирост населения также отрицательно сказывается на ценах.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Наличие лага зависимой переменной говорит о </w:t>
      </w:r>
      <w:r>
        <w:rPr>
          <w:sz w:val="28"/>
          <w:szCs w:val="28"/>
        </w:rPr>
        <w:t>влиянии цены предыдущего периода на цены текущего, причем наблюдаемая зависимость положительная.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.3 Выводы по моделям прогнозирования цен для регионов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Таблице 16 представлена результирующая сводка по качеству построенных моделей для субъектов ЦФО - Бел</w:t>
      </w:r>
      <w:r>
        <w:rPr>
          <w:sz w:val="28"/>
          <w:szCs w:val="28"/>
        </w:rPr>
        <w:t>городская, Воронежская и Тульская области.</w:t>
      </w:r>
    </w:p>
    <w:p w:rsidR="00000000" w:rsidRDefault="001378F1">
      <w:pPr>
        <w:ind w:firstLine="709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lastRenderedPageBreak/>
        <w:br w:type="page"/>
      </w:r>
      <w:r>
        <w:rPr>
          <w:i/>
          <w:iCs/>
          <w:sz w:val="28"/>
          <w:szCs w:val="28"/>
        </w:rPr>
        <w:lastRenderedPageBreak/>
        <w:t xml:space="preserve">Таблица </w:t>
      </w:r>
      <w:r>
        <w:rPr>
          <w:i/>
          <w:iCs/>
          <w:noProof/>
          <w:sz w:val="28"/>
          <w:szCs w:val="28"/>
        </w:rPr>
        <w:t>16</w:t>
      </w:r>
      <w:r>
        <w:rPr>
          <w:i/>
          <w:iCs/>
          <w:sz w:val="28"/>
          <w:szCs w:val="28"/>
        </w:rPr>
        <w:t xml:space="preserve"> - Результаты построения моделей прогнозирования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630"/>
        <w:gridCol w:w="925"/>
        <w:gridCol w:w="2796"/>
        <w:gridCol w:w="925"/>
        <w:gridCol w:w="2796"/>
      </w:tblGrid>
      <w:tr w:rsidR="00000000">
        <w:tblPrEx>
          <w:tblCellMar>
            <w:top w:w="0" w:type="dxa"/>
            <w:bottom w:w="0" w:type="dxa"/>
          </w:tblCellMar>
        </w:tblPrEx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37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ARIMA-</w:t>
            </w:r>
            <w:r>
              <w:rPr>
                <w:sz w:val="20"/>
                <w:szCs w:val="20"/>
              </w:rPr>
              <w:t>модель</w:t>
            </w:r>
          </w:p>
        </w:tc>
        <w:tc>
          <w:tcPr>
            <w:tcW w:w="37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Регрессия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R-</w:t>
            </w:r>
            <w:r>
              <w:rPr>
                <w:sz w:val="20"/>
                <w:szCs w:val="20"/>
              </w:rPr>
              <w:t>квадрат</w:t>
            </w:r>
          </w:p>
        </w:tc>
        <w:tc>
          <w:tcPr>
            <w:tcW w:w="2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относительная ошибка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R-</w:t>
            </w:r>
            <w:r>
              <w:rPr>
                <w:sz w:val="20"/>
                <w:szCs w:val="20"/>
              </w:rPr>
              <w:t>квадрат</w:t>
            </w:r>
          </w:p>
        </w:tc>
        <w:tc>
          <w:tcPr>
            <w:tcW w:w="2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относительная ошибка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Белгородская обл.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0,97</w:t>
            </w:r>
          </w:p>
        </w:tc>
        <w:tc>
          <w:tcPr>
            <w:tcW w:w="2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0,98</w:t>
            </w:r>
          </w:p>
        </w:tc>
        <w:tc>
          <w:tcPr>
            <w:tcW w:w="2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7,5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Воронежская</w:t>
            </w:r>
            <w:r>
              <w:rPr>
                <w:sz w:val="20"/>
                <w:szCs w:val="20"/>
              </w:rPr>
              <w:t xml:space="preserve"> обл.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0,99</w:t>
            </w:r>
          </w:p>
        </w:tc>
        <w:tc>
          <w:tcPr>
            <w:tcW w:w="2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5,5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0,99</w:t>
            </w:r>
          </w:p>
        </w:tc>
        <w:tc>
          <w:tcPr>
            <w:tcW w:w="2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4,4</w:t>
            </w:r>
          </w:p>
        </w:tc>
      </w:tr>
      <w:tr w:rsidR="00000000">
        <w:tblPrEx>
          <w:tblCellMar>
            <w:top w:w="0" w:type="dxa"/>
            <w:bottom w:w="0" w:type="dxa"/>
          </w:tblCellMar>
        </w:tblPrEx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Тульская обл.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0,98</w:t>
            </w:r>
          </w:p>
        </w:tc>
        <w:tc>
          <w:tcPr>
            <w:tcW w:w="2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0,98</w:t>
            </w:r>
          </w:p>
        </w:tc>
        <w:tc>
          <w:tcPr>
            <w:tcW w:w="2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000" w:rsidRDefault="001378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2,7</w:t>
            </w:r>
          </w:p>
        </w:tc>
      </w:tr>
    </w:tbl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 построенные модели показали хорошие прогностические способности, тем не менее, использование каждого из подходов должно соответствовать целями и периодом построения прогноза.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Ретроспективные пр</w:t>
      </w:r>
      <w:r>
        <w:rPr>
          <w:sz w:val="28"/>
          <w:szCs w:val="28"/>
        </w:rPr>
        <w:t xml:space="preserve">огнозы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 xml:space="preserve"> моделей для Белгородской, Воронежской и Тульской областей показали, что в долгосрочной перспективе наблюдаются заметные отклонения от фактических данных. Это можно объяснить тем, что модели не учитывают внешних факторов, например, кризис или с</w:t>
      </w:r>
      <w:r>
        <w:rPr>
          <w:sz w:val="28"/>
          <w:szCs w:val="28"/>
        </w:rPr>
        <w:t xml:space="preserve">остояние рынка, а 2015 г. показал довольно резкое снижение цены, в то время как модель "уловила" тенденцию к росту прошлых периодов. В данном случае можно сделать вывод о том, что 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>-модель наиболее эффективна для построения краткосрочных прогнозов на б</w:t>
      </w:r>
      <w:r>
        <w:rPr>
          <w:sz w:val="28"/>
          <w:szCs w:val="28"/>
        </w:rPr>
        <w:t>лижайшие 1-2 периода. Тем не менее, средняя относительная ошибка прогноза не превышает 7% для всех моделей, что говорит о хорошей точности прогноза.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Что касается многофакторных регрессионных моделей, то данный подход в большей степени пригоден для долгосро</w:t>
      </w:r>
      <w:r>
        <w:rPr>
          <w:sz w:val="28"/>
          <w:szCs w:val="28"/>
        </w:rPr>
        <w:t>чного прогнозирования, поскольку данные модели включают внешние факторы и позволяют учитывать специфику отдельных регионов. Построение такого рода моделей является более затратным и трудоемким процессом, поскольку для этого необходимы данные по независимым</w:t>
      </w:r>
      <w:r>
        <w:rPr>
          <w:sz w:val="28"/>
          <w:szCs w:val="28"/>
        </w:rPr>
        <w:t xml:space="preserve"> переменным, которые, свою очередь, зачастую также необходимо прогнозировать, но за счет многофакторности достигается большая степень точности при прогнозировании. Средняя относительная ошибка рассмотренных регрессионных моделей не превышает 8%. Стоит такж</w:t>
      </w:r>
      <w:r>
        <w:rPr>
          <w:sz w:val="28"/>
          <w:szCs w:val="28"/>
        </w:rPr>
        <w:t xml:space="preserve">е отметить, что для каждого отдельного региона значимыми оказались различные факторы, что доказывает наличие индивидуальных специфических </w:t>
      </w:r>
      <w:r>
        <w:rPr>
          <w:sz w:val="28"/>
          <w:szCs w:val="28"/>
        </w:rPr>
        <w:lastRenderedPageBreak/>
        <w:t>особенностей у каждого из регионов и подчеркивает необходимость их учета.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Заключение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  <w:lang/>
        </w:rPr>
      </w:pPr>
      <w:r>
        <w:rPr>
          <w:sz w:val="28"/>
          <w:szCs w:val="28"/>
          <w:lang/>
        </w:rPr>
        <w:t>Ценообразование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является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одним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из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ключевых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элементов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экономики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любого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уровня, выполняя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одновременно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регулирующую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индикативную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роли. Воздействие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процессов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ценообразования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на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социально-экономическую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ситуацию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стране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регионе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неоспоримо. С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другой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стороны, цены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на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товары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услуги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фор</w:t>
      </w:r>
      <w:r>
        <w:rPr>
          <w:sz w:val="28"/>
          <w:szCs w:val="28"/>
          <w:lang/>
        </w:rPr>
        <w:t>мируются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под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воздействием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множества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факторов,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имеющих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только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экономические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политические, но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значительной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степени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психологические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истоки. Поэтому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анализ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прогнозирование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развития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отдельных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регионов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страны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целом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невозможны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без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исследования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дина</w:t>
      </w:r>
      <w:r>
        <w:rPr>
          <w:sz w:val="28"/>
          <w:szCs w:val="28"/>
          <w:lang/>
        </w:rPr>
        <w:t>мики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цен.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  <w:lang/>
        </w:rPr>
      </w:pPr>
      <w:r>
        <w:rPr>
          <w:sz w:val="28"/>
          <w:szCs w:val="28"/>
          <w:lang/>
        </w:rPr>
        <w:t>Методы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экономико-математического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моделирования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позволяют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только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оценить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спрогнозировать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экономическую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ситуацию, но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также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выявить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факторы, влияющие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на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динамику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цен, 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подобрать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инструменты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для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ее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регулирования. Однако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последнее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время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под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вл</w:t>
      </w:r>
      <w:r>
        <w:rPr>
          <w:sz w:val="28"/>
          <w:szCs w:val="28"/>
          <w:lang/>
        </w:rPr>
        <w:t>иянием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мировой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интеграции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всеобщей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глобализации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происходит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усложнение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экономических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процессов, использование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стандартных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методов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моделирования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прогнозирования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экономических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процессов, 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том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числе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 области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ценообразования, становятся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недостаточным. В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</w:t>
      </w:r>
      <w:r>
        <w:rPr>
          <w:sz w:val="28"/>
          <w:szCs w:val="28"/>
          <w:lang/>
        </w:rPr>
        <w:t>вязи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этим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возникает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необходимость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применения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специфических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моделей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анализа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прогнозирования, позволяющих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более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глубоко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изучить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ценовые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процессы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учитывающих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особенности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на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разных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уровнях.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рамках данной работы были исследованы и рассмотрены факторы</w:t>
      </w:r>
      <w:r>
        <w:rPr>
          <w:sz w:val="28"/>
          <w:szCs w:val="28"/>
        </w:rPr>
        <w:t>, влияющие на развитие рынка жилой недвижимости в регионах России. Кроме того, был дан обзор основных подходов, применяемых при прогнозировании цен на недвижимость.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Практическая часть работы была посвящена построению прогностических моделей средней цены об</w:t>
      </w:r>
      <w:r>
        <w:rPr>
          <w:sz w:val="28"/>
          <w:szCs w:val="28"/>
        </w:rPr>
        <w:t xml:space="preserve">ъектов жилой недвижимости на первичном рынке трех </w:t>
      </w:r>
      <w:r>
        <w:rPr>
          <w:sz w:val="28"/>
          <w:szCs w:val="28"/>
        </w:rPr>
        <w:lastRenderedPageBreak/>
        <w:t>крупнейших по численности населения субъектов ЦФО РФ - Белгородская, Воронежская и Тульская области. Для каждого из регионов была построена отдельная модель и построен ретроспективный прогноз. Использовалос</w:t>
      </w:r>
      <w:r>
        <w:rPr>
          <w:sz w:val="28"/>
          <w:szCs w:val="28"/>
        </w:rPr>
        <w:t>ь два подхода - построение интегрированной модели авторегрессии-скользящего среднего (</w:t>
      </w:r>
      <w:r>
        <w:rPr>
          <w:sz w:val="28"/>
          <w:szCs w:val="28"/>
          <w:lang w:val="en-US"/>
        </w:rPr>
        <w:t>ARIMA</w:t>
      </w:r>
      <w:r>
        <w:rPr>
          <w:sz w:val="28"/>
          <w:szCs w:val="28"/>
        </w:rPr>
        <w:t>) и многофакторная регрессионная модель.</w:t>
      </w:r>
    </w:p>
    <w:p w:rsidR="00000000" w:rsidRDefault="001378F1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результате средняя относительная ошибка всех рассмотренных моделей не превышает 8%, что говорит о хорошей прогностической </w:t>
      </w:r>
      <w:r>
        <w:rPr>
          <w:sz w:val="28"/>
          <w:szCs w:val="28"/>
        </w:rPr>
        <w:t>способности моделей. Тем не менее, был сделан вывод о том, что модели авторегрессии подходят в первую очередь для краткосрочного прогнозирования (на 1-2 периода), регрессионные модели могут применяется для более дальних прогнозов, но требуют наличия информ</w:t>
      </w:r>
      <w:r>
        <w:rPr>
          <w:sz w:val="28"/>
          <w:szCs w:val="28"/>
        </w:rPr>
        <w:t>ации по определяющим факторам.</w:t>
      </w: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1378F1">
      <w:pPr>
        <w:pStyle w:val="1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Список литературы</w:t>
      </w:r>
    </w:p>
    <w:p w:rsidR="00000000" w:rsidRDefault="001378F1">
      <w:pPr>
        <w:tabs>
          <w:tab w:val="left" w:pos="567"/>
          <w:tab w:val="left" w:pos="1134"/>
        </w:tabs>
        <w:suppressAutoHyphens/>
        <w:spacing w:line="360" w:lineRule="auto"/>
        <w:ind w:left="709"/>
        <w:rPr>
          <w:sz w:val="28"/>
          <w:szCs w:val="28"/>
        </w:rPr>
      </w:pPr>
    </w:p>
    <w:p w:rsidR="00000000" w:rsidRDefault="001378F1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1.</w:t>
      </w:r>
      <w:r>
        <w:rPr>
          <w:sz w:val="28"/>
          <w:szCs w:val="28"/>
        </w:rPr>
        <w:tab/>
        <w:t>Азнабаев А.М., Математическая модель массовой оценки рынка жилой недвижимости // Автореф. дис. на соиск. ученой степ. канд. экон. наук. - Уфа: 2012. - 25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2.</w:t>
      </w:r>
      <w:r>
        <w:rPr>
          <w:sz w:val="28"/>
          <w:szCs w:val="28"/>
        </w:rPr>
        <w:tab/>
        <w:t>Айвазян С.А. Методы эконометрики: учебник</w:t>
      </w:r>
      <w:r>
        <w:rPr>
          <w:sz w:val="28"/>
          <w:szCs w:val="28"/>
        </w:rPr>
        <w:t>. - М.: Магистр: ИНФРА-М, 2010.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Асаул А.Н., Гордеев Д.А., Ушакова Е.И. Развитие рынка жилой недвижимости как самоорганизующейся системы / под ред. засл. строителя РФ, д-ра экон. наук, проф. А.Н. Асаула. - СПб. : ГАСУ, 2008. - 334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Бабешко Л.О. Основы</w:t>
      </w:r>
      <w:r>
        <w:rPr>
          <w:sz w:val="28"/>
          <w:szCs w:val="28"/>
        </w:rPr>
        <w:t xml:space="preserve"> эконометрического моделирования: Учеб. Пособие. - М.: КомКнига, 2006.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Балабанов И.Т. Операции с недвижимостью в России. - М.: Финансы и статистика. - 1996. - 122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Бокс Дж., Дженкинс Г. "Анализ временных рядов. Прогноз и управление" - М.: Мир, 1994 г</w:t>
      </w:r>
      <w:r>
        <w:rPr>
          <w:sz w:val="28"/>
          <w:szCs w:val="28"/>
        </w:rPr>
        <w:t>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Вербик Марно Путеводитель по современной эконометрике. - М.: Научная книга, 2008.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Владимирова Л.П. Прогнозирование и планирование в условиях рынка: учеб. пособие. М.: Изд. дом "Дашков и К", 2000. 308 с.</w:t>
      </w:r>
    </w:p>
    <w:p w:rsidR="00000000" w:rsidRDefault="001378F1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  <w:lang/>
        </w:rPr>
      </w:pPr>
      <w:r>
        <w:rPr>
          <w:sz w:val="28"/>
          <w:szCs w:val="28"/>
          <w:lang/>
        </w:rPr>
        <w:t>9.</w:t>
      </w:r>
      <w:r>
        <w:rPr>
          <w:sz w:val="28"/>
          <w:szCs w:val="28"/>
          <w:lang/>
        </w:rPr>
        <w:tab/>
        <w:t>Герасименко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В.В. Ценообразование: Учеб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пособ</w:t>
      </w:r>
      <w:r>
        <w:rPr>
          <w:sz w:val="28"/>
          <w:szCs w:val="28"/>
          <w:lang/>
        </w:rPr>
        <w:t>ие.- М.:ИНФА-М,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2005.-(серия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"Учебники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экономического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факультета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МГУ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им. М.В.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Ломоносова), 430 с.</w:t>
      </w:r>
    </w:p>
    <w:p w:rsidR="00000000" w:rsidRDefault="001378F1">
      <w:pPr>
        <w:suppressAutoHyphens/>
        <w:spacing w:line="360" w:lineRule="auto"/>
        <w:rPr>
          <w:sz w:val="28"/>
          <w:szCs w:val="28"/>
          <w:lang/>
        </w:rPr>
      </w:pPr>
      <w:r>
        <w:rPr>
          <w:sz w:val="28"/>
          <w:szCs w:val="28"/>
          <w:lang/>
        </w:rPr>
        <w:t>10.</w:t>
      </w:r>
      <w:r>
        <w:rPr>
          <w:sz w:val="28"/>
          <w:szCs w:val="28"/>
          <w:lang/>
        </w:rPr>
        <w:tab/>
        <w:t>Глущенко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К.П. Ценовые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взаимодействия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российских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региональных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рынков// Пространственная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/>
        </w:rPr>
        <w:t>экономика. -2007. -№1. -С. 48-60.</w:t>
      </w:r>
    </w:p>
    <w:p w:rsidR="00000000" w:rsidRDefault="001378F1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11.</w:t>
      </w:r>
      <w:r>
        <w:rPr>
          <w:sz w:val="28"/>
          <w:szCs w:val="28"/>
        </w:rPr>
        <w:tab/>
        <w:t>Грибовский С.В. Оценка стоимо</w:t>
      </w:r>
      <w:r>
        <w:rPr>
          <w:sz w:val="28"/>
          <w:szCs w:val="28"/>
        </w:rPr>
        <w:t>сти недвижимости: Учебное пособие. М.: Маросейка, 2009. - 432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12.</w:t>
      </w:r>
      <w:r>
        <w:rPr>
          <w:sz w:val="28"/>
          <w:szCs w:val="28"/>
        </w:rPr>
        <w:tab/>
        <w:t xml:space="preserve">Грибовский С.В., Иванова Е.Н., Львов Д.С., Медведева О.Е. Оценка </w:t>
      </w:r>
      <w:r>
        <w:rPr>
          <w:sz w:val="28"/>
          <w:szCs w:val="28"/>
        </w:rPr>
        <w:lastRenderedPageBreak/>
        <w:t>стоимости недвижимости. - М.: ИНТЕРРЕКЛАМА, 2003. - 704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Грибовский С.В., Сивец С.А. Математические методы оценки стои</w:t>
      </w:r>
      <w:r>
        <w:rPr>
          <w:sz w:val="28"/>
          <w:szCs w:val="28"/>
        </w:rPr>
        <w:t>мости недвижимого имущества - М.: Финансы и статистика, 2008. - 368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Дуброва Т.А. Статистические методы прогнозирования. - М.: ЮНИТИ-ДАНА, 2003.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 xml:space="preserve">Заводова Т.С. Экономико-математическое моделирование ценообразования и доступности жилья на региональном </w:t>
      </w:r>
      <w:r>
        <w:rPr>
          <w:sz w:val="28"/>
          <w:szCs w:val="28"/>
        </w:rPr>
        <w:t>рынке // Автореферат диссертации на соискание ученой степени канд. экон. наук. - M, 2009. - 20 c.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Канторович Г.Г. Анализ временных рядов// Экономический журнал ВШЭ. - 2002. №3. - с. 379-401.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Магнус Я.Р. Эконометрика: Начальный курс: Учебное пособие/ Я.</w:t>
      </w:r>
      <w:r>
        <w:rPr>
          <w:sz w:val="28"/>
          <w:szCs w:val="28"/>
        </w:rPr>
        <w:t>Р. Магнус, П.К. Катышев, А.А. Пересецкий. - М.: Дело, 2005. - 503с.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Мамаева О.А. Статистический анализ и прогнозирование развития рынка жилой недвижимости городского округа Самара // Автореферат диссертации на соискание ученой степени канд. экон. наук. -</w:t>
      </w:r>
      <w:r>
        <w:rPr>
          <w:sz w:val="28"/>
          <w:szCs w:val="28"/>
        </w:rPr>
        <w:t xml:space="preserve"> Самара, 2009 - 26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"Методологические рекомендации по наблюдению за уровнем и динамикой цен на рынке жилья", утверждены Приказом Росстата №7 от 20.01.2009г.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Методология и другие материалы по рейтингу регионов по качеству жизни в PDF-формате / http://</w:t>
      </w:r>
      <w:r>
        <w:rPr>
          <w:sz w:val="28"/>
          <w:szCs w:val="28"/>
        </w:rPr>
        <w:t>vid1.rian.ru/ig/ratings/life_2012.pdf.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Микерин Г.И., Гребенников В.Г., Нейман Е.И. Методологические основы оценки стоимости имущества. М.: Интерреклама, 2003.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Мингазова Л.М. Методика оценки региональной привлекательности вложений в недвижимость // Ново</w:t>
      </w:r>
      <w:r>
        <w:rPr>
          <w:sz w:val="28"/>
          <w:szCs w:val="28"/>
        </w:rPr>
        <w:t>е слово в науке и практике: гипотезы и апробация результатов исследований: Сб. материалов II-й Междунар. науч.-практ. конф. - Новосибирск, 2012. - С. 127 - 133.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Мирзоян Н.В., Управление и оценка недвижимости. / Московская финансово-промышленная академия.</w:t>
      </w:r>
      <w:r>
        <w:rPr>
          <w:sz w:val="28"/>
          <w:szCs w:val="28"/>
        </w:rPr>
        <w:t xml:space="preserve"> - М., 2007. - 251 с.</w:t>
      </w:r>
    </w:p>
    <w:p w:rsidR="00000000" w:rsidRDefault="001378F1">
      <w:pPr>
        <w:suppressAutoHyphens/>
        <w:spacing w:line="360" w:lineRule="auto"/>
        <w:rPr>
          <w:sz w:val="28"/>
          <w:szCs w:val="28"/>
          <w:lang w:val="en-US"/>
        </w:rPr>
      </w:pPr>
      <w:r>
        <w:rPr>
          <w:sz w:val="28"/>
          <w:szCs w:val="28"/>
        </w:rPr>
        <w:lastRenderedPageBreak/>
        <w:t>.</w:t>
      </w:r>
      <w:r>
        <w:rPr>
          <w:sz w:val="28"/>
          <w:szCs w:val="28"/>
        </w:rPr>
        <w:tab/>
        <w:t>Обзор центра макроэкономических исследований Сбербанка России. 09.12.2008. Цены на недвижимость в России и в мире: текущая динамика и перспективы. Режим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доступа</w:t>
      </w:r>
      <w:r>
        <w:rPr>
          <w:sz w:val="28"/>
          <w:szCs w:val="28"/>
          <w:lang w:val="en-US"/>
        </w:rPr>
        <w:t>: http://www.sberbank.ru/ com-mon/img/uploaded/files/pdf/press_center/Re</w:t>
      </w:r>
      <w:r>
        <w:rPr>
          <w:sz w:val="28"/>
          <w:szCs w:val="28"/>
          <w:lang w:val="en-US"/>
        </w:rPr>
        <w:t>view_4.pdf</w:t>
      </w:r>
    </w:p>
    <w:p w:rsidR="00000000" w:rsidRDefault="001378F1">
      <w:pPr>
        <w:suppressAutoHyphens/>
        <w:spacing w:line="360" w:lineRule="auto"/>
        <w:rPr>
          <w:sz w:val="28"/>
          <w:szCs w:val="28"/>
          <w:lang w:val="en-US"/>
        </w:rPr>
      </w:pPr>
      <w:r>
        <w:rPr>
          <w:sz w:val="28"/>
          <w:szCs w:val="28"/>
        </w:rPr>
        <w:t>25.</w:t>
      </w:r>
      <w:r>
        <w:rPr>
          <w:sz w:val="28"/>
          <w:szCs w:val="28"/>
        </w:rPr>
        <w:tab/>
        <w:t>Обзор центра макроэкономических исследований Сбербанка России. Сентябрь 2010. Рынок жилья: выход из кризиса. Режим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доступа</w:t>
      </w:r>
      <w:r>
        <w:rPr>
          <w:sz w:val="28"/>
          <w:szCs w:val="28"/>
          <w:lang w:val="en-US"/>
        </w:rPr>
        <w:t>: http://www.sberbank.ru/common/img/uploaded/files/pdf/press_center/ Review_september_2010_home.pdf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26.</w:t>
      </w:r>
      <w:r>
        <w:rPr>
          <w:sz w:val="28"/>
          <w:szCs w:val="28"/>
        </w:rPr>
        <w:tab/>
        <w:t>Практикум по эк</w:t>
      </w:r>
      <w:r>
        <w:rPr>
          <w:sz w:val="28"/>
          <w:szCs w:val="28"/>
        </w:rPr>
        <w:t>онометрике: Учеб. пособие / Под ред. И.И. Елисеевой. - М.: Финансы и статистика, 2001.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Ронова Г.Н., Осоргин А.Н. Оценка недвижимости: Учебно- методический комплекс. - М.: Изд. центр ЕАОИ. 2008. - 356 с.</w:t>
      </w:r>
    </w:p>
    <w:p w:rsidR="00000000" w:rsidRDefault="001378F1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Борисенок Н.К. Статистическое исследование рынка жи</w:t>
      </w:r>
      <w:r>
        <w:rPr>
          <w:sz w:val="28"/>
          <w:szCs w:val="28"/>
        </w:rPr>
        <w:t>лья Российской Федерации // Автореф. дис. на соиск. ученой степ.канд. экон. наук. - М., 2013. - 27 с.</w:t>
      </w:r>
    </w:p>
    <w:p w:rsidR="00000000" w:rsidRDefault="001378F1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Стерник Г.М. Методика прогнозирования цен на жилье в зависимости от типа рынка. - Журнал "Имущественные отношения в РФ", 2011 № 1, стр. 43-47.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29.</w:t>
      </w:r>
      <w:r>
        <w:rPr>
          <w:sz w:val="28"/>
          <w:szCs w:val="28"/>
        </w:rPr>
        <w:tab/>
        <w:t>Стерн</w:t>
      </w:r>
      <w:r>
        <w:rPr>
          <w:sz w:val="28"/>
          <w:szCs w:val="28"/>
        </w:rPr>
        <w:t>ик Г.М. Рынок жилья России в 2001 году. Анализ и прогноз. - РГР, декабрь 2001.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Стерник Г.М. Технология анализа рынка недвижимости. Методические рекомендации Российской гильдии риэлторов по анализу рынка недвижимости. - М.: 2005. - 200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Стерник Г.М. Ц</w:t>
      </w:r>
      <w:r>
        <w:rPr>
          <w:sz w:val="28"/>
          <w:szCs w:val="28"/>
        </w:rPr>
        <w:t>ены предложения на рынке жилья городов России: анализ и прогноз. СтерниксКонсалтинг, 2007. - 180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Стерник Г.М., Краснопольская А.Н. Негармоническое разложение ценовой динамики рынка жилья Москвы. Москва 2006. Режим доступа: http://realtymarket.ru/metod</w:t>
      </w:r>
      <w:r>
        <w:rPr>
          <w:sz w:val="28"/>
          <w:szCs w:val="28"/>
        </w:rPr>
        <w:t>i-eskie-materiali/Sternik-G.M.-Krasnopolskaya-A.N.-NEGARMONI-ESKOE-RAZLOJENIE-CENOVOI-DINAMIKI-RINKA-JILYA-MOSK</w:t>
      </w:r>
      <w:r>
        <w:rPr>
          <w:sz w:val="28"/>
          <w:szCs w:val="28"/>
        </w:rPr>
        <w:lastRenderedPageBreak/>
        <w:t>VI.html.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Стерник Г.М., Стерник С.Г. Анализ рынка недвижимости для профессионалов. М., 2009. - 606 с.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Стерник Г.М. Ценообразование на рынке жи</w:t>
      </w:r>
      <w:r>
        <w:rPr>
          <w:sz w:val="28"/>
          <w:szCs w:val="28"/>
        </w:rPr>
        <w:t>лья России.</w:t>
      </w:r>
    </w:p>
    <w:p w:rsidR="00000000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 xml:space="preserve">Федеральная служба государственной статистики РФ [Электронный ресурс]. </w:t>
      </w:r>
      <w:r>
        <w:rPr>
          <w:sz w:val="28"/>
          <w:szCs w:val="28"/>
          <w:lang w:val="en-US"/>
        </w:rPr>
        <w:t>URL</w:t>
      </w:r>
      <w:r>
        <w:rPr>
          <w:sz w:val="28"/>
          <w:szCs w:val="28"/>
        </w:rPr>
        <w:t xml:space="preserve">: </w:t>
      </w:r>
      <w:r>
        <w:rPr>
          <w:sz w:val="28"/>
          <w:szCs w:val="28"/>
          <w:lang w:val="en-US"/>
        </w:rPr>
        <w:t>http</w:t>
      </w:r>
      <w:r>
        <w:rPr>
          <w:sz w:val="28"/>
          <w:szCs w:val="28"/>
        </w:rPr>
        <w:t>://</w:t>
      </w:r>
      <w:r>
        <w:rPr>
          <w:sz w:val="28"/>
          <w:szCs w:val="28"/>
          <w:lang w:val="en-US"/>
        </w:rPr>
        <w:t>www</w:t>
      </w:r>
      <w:r>
        <w:rPr>
          <w:sz w:val="28"/>
          <w:szCs w:val="28"/>
        </w:rPr>
        <w:t>.</w:t>
      </w:r>
      <w:r>
        <w:rPr>
          <w:sz w:val="28"/>
          <w:szCs w:val="28"/>
          <w:lang w:val="en-US"/>
        </w:rPr>
        <w:t>gks</w:t>
      </w:r>
      <w:r>
        <w:rPr>
          <w:sz w:val="28"/>
          <w:szCs w:val="28"/>
        </w:rPr>
        <w:t>.</w:t>
      </w:r>
      <w:r>
        <w:rPr>
          <w:sz w:val="28"/>
          <w:szCs w:val="28"/>
          <w:lang w:val="en-US"/>
        </w:rPr>
        <w:t>ru</w:t>
      </w:r>
      <w:r>
        <w:rPr>
          <w:sz w:val="28"/>
          <w:szCs w:val="28"/>
        </w:rPr>
        <w:t xml:space="preserve"> (Дата обращения: 23.04.2016)</w:t>
      </w:r>
    </w:p>
    <w:p w:rsidR="001378F1" w:rsidRDefault="001378F1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Экономико-математические методы и прикладные модели: Учеб. пособие для вузов / В.В. Федосеев, А.Н. Гармаш, Д.М. Дайит</w:t>
      </w:r>
      <w:r>
        <w:rPr>
          <w:sz w:val="28"/>
          <w:szCs w:val="28"/>
        </w:rPr>
        <w:t>бегов и др.; Под ред В.В. Федосеева. - М.: ЮНИТИ, 2002.</w:t>
      </w:r>
    </w:p>
    <w:sectPr w:rsidR="001378F1">
      <w:pgSz w:w="12240" w:h="15840"/>
      <w:pgMar w:top="1134" w:right="850" w:bottom="1134" w:left="1701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embedSystemFonts/>
  <w:bordersDoNotSurroundHeader/>
  <w:bordersDoNotSurroundFooter/>
  <w:defaultTabStop w:val="708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971511"/>
    <w:rsid w:val="001378F1"/>
    <w:rsid w:val="0083139E"/>
    <w:rsid w:val="009715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hAnsi="Times New Roman CYR" w:cs="Times New Roman CYR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pPr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wmf"/><Relationship Id="rId26" Type="http://schemas.openxmlformats.org/officeDocument/2006/relationships/image" Target="media/image23.wmf"/><Relationship Id="rId39" Type="http://schemas.openxmlformats.org/officeDocument/2006/relationships/image" Target="media/image36.png"/><Relationship Id="rId21" Type="http://schemas.openxmlformats.org/officeDocument/2006/relationships/image" Target="media/image18.wmf"/><Relationship Id="rId34" Type="http://schemas.openxmlformats.org/officeDocument/2006/relationships/image" Target="media/image31.wmf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wmf"/><Relationship Id="rId68" Type="http://schemas.openxmlformats.org/officeDocument/2006/relationships/image" Target="media/image65.png"/><Relationship Id="rId76" Type="http://schemas.openxmlformats.org/officeDocument/2006/relationships/image" Target="media/image73.png"/><Relationship Id="rId84" Type="http://schemas.openxmlformats.org/officeDocument/2006/relationships/image" Target="media/image81.wmf"/><Relationship Id="rId89" Type="http://schemas.openxmlformats.org/officeDocument/2006/relationships/fontTable" Target="fontTable.xml"/><Relationship Id="rId7" Type="http://schemas.openxmlformats.org/officeDocument/2006/relationships/image" Target="media/image4.png"/><Relationship Id="rId71" Type="http://schemas.openxmlformats.org/officeDocument/2006/relationships/image" Target="media/image68.wmf"/><Relationship Id="rId2" Type="http://schemas.openxmlformats.org/officeDocument/2006/relationships/settings" Target="settings.xml"/><Relationship Id="rId16" Type="http://schemas.openxmlformats.org/officeDocument/2006/relationships/image" Target="media/image13.wmf"/><Relationship Id="rId29" Type="http://schemas.openxmlformats.org/officeDocument/2006/relationships/image" Target="media/image26.wmf"/><Relationship Id="rId11" Type="http://schemas.openxmlformats.org/officeDocument/2006/relationships/image" Target="media/image8.png"/><Relationship Id="rId24" Type="http://schemas.openxmlformats.org/officeDocument/2006/relationships/image" Target="media/image21.wmf"/><Relationship Id="rId32" Type="http://schemas.openxmlformats.org/officeDocument/2006/relationships/image" Target="media/image29.wmf"/><Relationship Id="rId37" Type="http://schemas.openxmlformats.org/officeDocument/2006/relationships/image" Target="media/image34.wmf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wmf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87" Type="http://schemas.openxmlformats.org/officeDocument/2006/relationships/image" Target="media/image84.png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82" Type="http://schemas.openxmlformats.org/officeDocument/2006/relationships/image" Target="media/image79.png"/><Relationship Id="rId90" Type="http://schemas.openxmlformats.org/officeDocument/2006/relationships/theme" Target="theme/theme1.xml"/><Relationship Id="rId19" Type="http://schemas.openxmlformats.org/officeDocument/2006/relationships/image" Target="media/image16.wmf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wmf"/><Relationship Id="rId22" Type="http://schemas.openxmlformats.org/officeDocument/2006/relationships/image" Target="media/image19.wmf"/><Relationship Id="rId27" Type="http://schemas.openxmlformats.org/officeDocument/2006/relationships/image" Target="media/image24.wmf"/><Relationship Id="rId30" Type="http://schemas.openxmlformats.org/officeDocument/2006/relationships/image" Target="media/image27.wmf"/><Relationship Id="rId35" Type="http://schemas.openxmlformats.org/officeDocument/2006/relationships/image" Target="media/image32.wmf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image" Target="media/image77.wmf"/><Relationship Id="rId85" Type="http://schemas.openxmlformats.org/officeDocument/2006/relationships/image" Target="media/image82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wmf"/><Relationship Id="rId25" Type="http://schemas.openxmlformats.org/officeDocument/2006/relationships/image" Target="media/image22.wmf"/><Relationship Id="rId33" Type="http://schemas.openxmlformats.org/officeDocument/2006/relationships/image" Target="media/image30.wmf"/><Relationship Id="rId38" Type="http://schemas.openxmlformats.org/officeDocument/2006/relationships/image" Target="media/image35.wmf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wmf"/><Relationship Id="rId41" Type="http://schemas.openxmlformats.org/officeDocument/2006/relationships/image" Target="media/image38.png"/><Relationship Id="rId54" Type="http://schemas.openxmlformats.org/officeDocument/2006/relationships/image" Target="media/image51.wmf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83" Type="http://schemas.openxmlformats.org/officeDocument/2006/relationships/image" Target="media/image80.png"/><Relationship Id="rId88" Type="http://schemas.openxmlformats.org/officeDocument/2006/relationships/image" Target="media/image85.wm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wmf"/><Relationship Id="rId23" Type="http://schemas.openxmlformats.org/officeDocument/2006/relationships/image" Target="media/image20.wmf"/><Relationship Id="rId28" Type="http://schemas.openxmlformats.org/officeDocument/2006/relationships/image" Target="media/image25.wmf"/><Relationship Id="rId36" Type="http://schemas.openxmlformats.org/officeDocument/2006/relationships/image" Target="media/image33.wmf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wmf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wmf"/><Relationship Id="rId78" Type="http://schemas.openxmlformats.org/officeDocument/2006/relationships/image" Target="media/image75.png"/><Relationship Id="rId81" Type="http://schemas.openxmlformats.org/officeDocument/2006/relationships/image" Target="media/image78.png"/><Relationship Id="rId86" Type="http://schemas.openxmlformats.org/officeDocument/2006/relationships/image" Target="media/image8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84</Pages>
  <Words>12000</Words>
  <Characters>68406</Characters>
  <Application>Microsoft Office Word</Application>
  <DocSecurity>0</DocSecurity>
  <Lines>570</Lines>
  <Paragraphs>160</Paragraphs>
  <ScaleCrop>false</ScaleCrop>
  <Company>Grizli777</Company>
  <LinksUpToDate>false</LinksUpToDate>
  <CharactersWithSpaces>80246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</dc:creator>
  <cp:lastModifiedBy>Олег</cp:lastModifiedBy>
  <cp:revision>2</cp:revision>
  <dcterms:created xsi:type="dcterms:W3CDTF">2019-12-12T19:30:00Z</dcterms:created>
  <dcterms:modified xsi:type="dcterms:W3CDTF">2019-12-12T19:30:00Z</dcterms:modified>
</cp:coreProperties>
</file>