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План</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Введение</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Глава 1. Теоретические аспекты рынка взаимных фондов в России и мире</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 Обзор рынка паевых инвестиционных фондов в России</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.2 Развитие рынка ПИФов в России</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.3 Консолидация отрасли российских ПИФов</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.4 Эффективность российских ПИФов</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.5 Проблемы</w:t>
      </w:r>
      <w:r>
        <w:rPr>
          <w:rFonts w:ascii="Times New Roman CYR" w:hAnsi="Times New Roman CYR" w:cs="Times New Roman CYR"/>
          <w:sz w:val="28"/>
          <w:szCs w:val="28"/>
        </w:rPr>
        <w:t xml:space="preserve"> рынка и пути их решения</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.6 Обзор литературы, посвященной исследованиям факторов, влияющих на доходность и приток инвестиций во взаимные фонды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.7 Факторы, влияющие на приток средств во взаимные фонды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.8 Влияние сделок слияния и поглощения на доходность и п</w:t>
      </w:r>
      <w:r>
        <w:rPr>
          <w:rFonts w:ascii="Times New Roman CYR" w:hAnsi="Times New Roman CYR" w:cs="Times New Roman CYR"/>
          <w:sz w:val="28"/>
          <w:szCs w:val="28"/>
        </w:rPr>
        <w:t>риток средств в фонды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Выводы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Глава 2. Однофакторный анализ: эффект от слияния</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 Результаты слияния</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Выводы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Глава 3. Многофакторный анализ</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 Факторы, влияющие на избыточную доходность российских ПИФов</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.2 Факторы, влияющие на приток средств в российские ПИФ</w:t>
      </w:r>
      <w:r>
        <w:rPr>
          <w:rFonts w:ascii="Times New Roman CYR" w:hAnsi="Times New Roman CYR" w:cs="Times New Roman CYR"/>
          <w:sz w:val="28"/>
          <w:szCs w:val="28"/>
        </w:rPr>
        <w:t>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Выводы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Заключение</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Список использованной литературы</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Приложение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Введение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Отрасль коллективных инвестиций - это важнейшая составляющая финансовых рынков. Именно эта отрасль предоставляет долгосрочные средства участникам финансового рынка, а также являются</w:t>
      </w:r>
      <w:r>
        <w:rPr>
          <w:rFonts w:ascii="Times New Roman CYR" w:hAnsi="Times New Roman CYR" w:cs="Times New Roman CYR"/>
          <w:sz w:val="28"/>
          <w:szCs w:val="28"/>
        </w:rPr>
        <w:t xml:space="preserve"> стабилизаторами финансовой системы за счет своих активов. В данной работе мы остановимся подробнее на части отрасли коллективных инвестиций - взаимных фондах и их российских аналогах, паевых инвестиционных фондах.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Актуальность исследований доходности и пр</w:t>
      </w:r>
      <w:r>
        <w:rPr>
          <w:rFonts w:ascii="Times New Roman CYR" w:hAnsi="Times New Roman CYR" w:cs="Times New Roman CYR"/>
          <w:sz w:val="28"/>
          <w:szCs w:val="28"/>
        </w:rPr>
        <w:t>итока средств в российские паевые инвестиционные фонды заключается в том, что понимание факторов, от которых зависит результат фондов и приток инвестиций может способствовать преломлению негативной тенденции оттока средств из данной отрасли, что поможет оз</w:t>
      </w:r>
      <w:r>
        <w:rPr>
          <w:rFonts w:ascii="Times New Roman CYR" w:hAnsi="Times New Roman CYR" w:cs="Times New Roman CYR"/>
          <w:sz w:val="28"/>
          <w:szCs w:val="28"/>
        </w:rPr>
        <w:t>доровить всю финансовую систему России. Помимо этого, в работе делается акцент на факторе проведения сделки слияния между фондами и его влиянии, как на доходность, так и на поведение инвесторов, что является актуальным вследствие недавней волны консолидаци</w:t>
      </w:r>
      <w:r>
        <w:rPr>
          <w:rFonts w:ascii="Times New Roman CYR" w:hAnsi="Times New Roman CYR" w:cs="Times New Roman CYR"/>
          <w:sz w:val="28"/>
          <w:szCs w:val="28"/>
        </w:rPr>
        <w:t>и в отрасли, связанной с законодательным упрощением этой процедуры. Кроме того, на данный момент большинство исследований сосредоточены на рынке США, в то время как развивающиеся рынки в целом и Россия в частности удостаиваются меньшего внимания.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данн</w:t>
      </w:r>
      <w:r>
        <w:rPr>
          <w:rFonts w:ascii="Times New Roman CYR" w:hAnsi="Times New Roman CYR" w:cs="Times New Roman CYR"/>
          <w:sz w:val="28"/>
          <w:szCs w:val="28"/>
        </w:rPr>
        <w:t>ой работы - выявление детерминант и направления их влияния на доходность и приток средств в российские паевые инвестиционные фонды.</w:t>
      </w:r>
      <w:r>
        <w:rPr>
          <w:rFonts w:ascii="Calibri" w:hAnsi="Calibri" w:cs="Calibri"/>
        </w:rPr>
        <w:t xml:space="preserve"> </w:t>
      </w:r>
      <w:r>
        <w:rPr>
          <w:rFonts w:ascii="Times New Roman CYR" w:hAnsi="Times New Roman CYR" w:cs="Times New Roman CYR"/>
          <w:color w:val="FFFFFF"/>
          <w:sz w:val="28"/>
          <w:szCs w:val="28"/>
        </w:rPr>
        <w:t>паевой инвестиционный доходность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достижения этой цели были поставлены следующие задачи: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Дать характеристику текущему с</w:t>
      </w:r>
      <w:r>
        <w:rPr>
          <w:rFonts w:ascii="Times New Roman CYR" w:hAnsi="Times New Roman CYR" w:cs="Times New Roman CYR"/>
          <w:sz w:val="28"/>
          <w:szCs w:val="28"/>
        </w:rPr>
        <w:t>остоянию отрасли паевых инвестиционных фондов в России, выявить основные тенденции и проблемы отрасли.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Выявить факторы, влияющие на доходность и приток инвестиций в </w:t>
      </w:r>
      <w:r>
        <w:rPr>
          <w:rFonts w:ascii="Times New Roman CYR" w:hAnsi="Times New Roman CYR" w:cs="Times New Roman CYR"/>
          <w:sz w:val="28"/>
          <w:szCs w:val="28"/>
        </w:rPr>
        <w:lastRenderedPageBreak/>
        <w:t>фонды в России и мире, на основе анализа академический работ, посвященных данной проблеме</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Собрать данные для проведения исследования, включающие в себя российские паевые инвестиционные фонды, участвовавшие в сделках слияния в 2014-2015 годах.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Провести предварительный анализ влияния фактора наличия сделки слияния на доходность и приток сре</w:t>
      </w:r>
      <w:r>
        <w:rPr>
          <w:rFonts w:ascii="Times New Roman CYR" w:hAnsi="Times New Roman CYR" w:cs="Times New Roman CYR"/>
          <w:sz w:val="28"/>
          <w:szCs w:val="28"/>
        </w:rPr>
        <w:t>дств в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Протестировать влияние выявленных факторов на доходность российских ПИФов, используя многофакторный регрессионный анализ.</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Протестировать влияние выявленных факторов на приток средств в российские ПИФы, используя многофакторный регрессионн</w:t>
      </w:r>
      <w:r>
        <w:rPr>
          <w:rFonts w:ascii="Times New Roman CYR" w:hAnsi="Times New Roman CYR" w:cs="Times New Roman CYR"/>
          <w:sz w:val="28"/>
          <w:szCs w:val="28"/>
        </w:rPr>
        <w:t>ый анализ.</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Объектом исследования выступают российские паевые инвестиционные фонды, предметом - доходность и приток средств российских паевых инвестиционных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работе использовалась выборка, состоящая из 83 российских паевых инвестиционных фондов, уч</w:t>
      </w:r>
      <w:r>
        <w:rPr>
          <w:rFonts w:ascii="Times New Roman CYR" w:hAnsi="Times New Roman CYR" w:cs="Times New Roman CYR"/>
          <w:sz w:val="28"/>
          <w:szCs w:val="28"/>
        </w:rPr>
        <w:t>аствовавших в 49 сделках слияния и поглощения в течение 2014-2015 года. Период исследования составляет 9 лет, с 2007 по 2015 года.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тестирования выдвинутых гипотез использовались методы статистического и регрессионного анализа с использованием возможнос</w:t>
      </w:r>
      <w:r>
        <w:rPr>
          <w:rFonts w:ascii="Times New Roman CYR" w:hAnsi="Times New Roman CYR" w:cs="Times New Roman CYR"/>
          <w:sz w:val="28"/>
          <w:szCs w:val="28"/>
        </w:rPr>
        <w:t xml:space="preserve">тей статистического пакета </w:t>
      </w:r>
      <w:r>
        <w:rPr>
          <w:rFonts w:ascii="Times New Roman CYR" w:hAnsi="Times New Roman CYR" w:cs="Times New Roman CYR"/>
          <w:sz w:val="28"/>
          <w:szCs w:val="28"/>
          <w:lang w:val="en-US"/>
        </w:rPr>
        <w:t>Stata</w:t>
      </w:r>
      <w:r>
        <w:rPr>
          <w:rFonts w:ascii="Times New Roman CYR" w:hAnsi="Times New Roman CYR" w:cs="Times New Roman CYR"/>
          <w:sz w:val="28"/>
          <w:szCs w:val="28"/>
        </w:rPr>
        <w:t>/</w:t>
      </w:r>
      <w:r>
        <w:rPr>
          <w:rFonts w:ascii="Times New Roman CYR" w:hAnsi="Times New Roman CYR" w:cs="Times New Roman CYR"/>
          <w:sz w:val="28"/>
          <w:szCs w:val="28"/>
          <w:lang w:val="en-US"/>
        </w:rPr>
        <w:t>MP</w:t>
      </w:r>
      <w:r>
        <w:rPr>
          <w:rFonts w:ascii="Times New Roman CYR" w:hAnsi="Times New Roman CYR" w:cs="Times New Roman CYR"/>
          <w:sz w:val="28"/>
          <w:szCs w:val="28"/>
        </w:rPr>
        <w:t xml:space="preserve"> 13.0.</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Практическая значимость данного исследования заключается в возможности оценить степень реакции российских инвесторов на различные факторы и использовать данные зависимости для привлечения инвесторов в отрасль паевы</w:t>
      </w:r>
      <w:r>
        <w:rPr>
          <w:rFonts w:ascii="Times New Roman CYR" w:hAnsi="Times New Roman CYR" w:cs="Times New Roman CYR"/>
          <w:sz w:val="28"/>
          <w:szCs w:val="28"/>
        </w:rPr>
        <w:t>х инвестиционных фондов в России. Кроме того, в работе оценивается эффект от проведения сделок слияния и реакцию инвесторов на эти сделки, что может быть использовано управляющими компаниями при принятии решений о слиянии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Глава 1. Теоретические ас</w:t>
      </w:r>
      <w:r>
        <w:rPr>
          <w:rFonts w:ascii="Times New Roman CYR" w:hAnsi="Times New Roman CYR" w:cs="Times New Roman CYR"/>
          <w:b/>
          <w:bCs/>
          <w:sz w:val="28"/>
          <w:szCs w:val="28"/>
        </w:rPr>
        <w:t>пекты рынка взаимных фондов в России и мире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 Обзор рынка паевых инвестиционных фондов в России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Взаимные фонды - важная составляющая мировых финансовых рынков. Они играют роль аккумулятора инвестиций обычных вкладчиков, для которых самостоятельное инвес</w:t>
      </w:r>
      <w:r>
        <w:rPr>
          <w:rFonts w:ascii="Times New Roman CYR" w:hAnsi="Times New Roman CYR" w:cs="Times New Roman CYR"/>
          <w:sz w:val="28"/>
          <w:szCs w:val="28"/>
        </w:rPr>
        <w:t xml:space="preserve">тирование недоступно по тем или иным причинам. Индустрия взаимных фондов во всем мире начала развиваться достаточно давно, первый взаимный фонд был открыт еще в 20-х гг. ХХ века в США </w:t>
      </w:r>
      <w:r>
        <w:rPr>
          <w:rFonts w:ascii="Times New Roman CYR" w:hAnsi="Times New Roman CYR" w:cs="Times New Roman CYR"/>
          <w:noProof/>
          <w:sz w:val="28"/>
          <w:szCs w:val="28"/>
        </w:rPr>
        <w:t>(Батяева, и др., 2006)</w:t>
      </w:r>
      <w:r>
        <w:rPr>
          <w:rFonts w:ascii="Times New Roman CYR" w:hAnsi="Times New Roman CYR" w:cs="Times New Roman CYR"/>
          <w:sz w:val="28"/>
          <w:szCs w:val="28"/>
        </w:rPr>
        <w:t>. За это время существенно обновилось законодатель</w:t>
      </w:r>
      <w:r>
        <w:rPr>
          <w:rFonts w:ascii="Times New Roman CYR" w:hAnsi="Times New Roman CYR" w:cs="Times New Roman CYR"/>
          <w:sz w:val="28"/>
          <w:szCs w:val="28"/>
        </w:rPr>
        <w:t>ство США в области регулирования деятельности таких фондов, были сняты жесткие ограничения на инвестирование в рискованные активы, наложенные на управляющих фондами, благодаря чему взаимные фонды сейчас открывают возможности частным инвесторам по инвестиро</w:t>
      </w:r>
      <w:r>
        <w:rPr>
          <w:rFonts w:ascii="Times New Roman CYR" w:hAnsi="Times New Roman CYR" w:cs="Times New Roman CYR"/>
          <w:sz w:val="28"/>
          <w:szCs w:val="28"/>
        </w:rPr>
        <w:t xml:space="preserve">ванию в высокодоходные активы. В 2014 году суммарный объем средств под управлением взаимных фондов США достиг 16 трлн. долл. </w:t>
      </w:r>
      <w:r>
        <w:rPr>
          <w:rFonts w:ascii="Times New Roman CYR" w:hAnsi="Times New Roman CYR" w:cs="Times New Roman CYR"/>
          <w:noProof/>
          <w:sz w:val="28"/>
          <w:szCs w:val="28"/>
        </w:rPr>
        <w:t>(Investment Company Institute, 2015)</w:t>
      </w:r>
      <w:r>
        <w:rPr>
          <w:rFonts w:ascii="Times New Roman CYR" w:hAnsi="Times New Roman CYR" w:cs="Times New Roman CYR"/>
          <w:sz w:val="28"/>
          <w:szCs w:val="28"/>
        </w:rPr>
        <w:t xml:space="preserve">, что составляет около 20% мирового ВВП - Источник: расчеты автора на основе данных </w:t>
      </w:r>
      <w:r>
        <w:rPr>
          <w:rFonts w:ascii="Times New Roman CYR" w:hAnsi="Times New Roman CYR" w:cs="Times New Roman CYR"/>
          <w:sz w:val="28"/>
          <w:szCs w:val="28"/>
          <w:lang w:val="en-US"/>
        </w:rPr>
        <w:t>World</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Bank</w:t>
      </w:r>
      <w:r>
        <w:rPr>
          <w:rFonts w:ascii="Times New Roman CYR" w:hAnsi="Times New Roman CYR" w:cs="Times New Roman CYR"/>
          <w:sz w:val="28"/>
          <w:szCs w:val="28"/>
        </w:rPr>
        <w:t>,</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URL</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worldbank</w:t>
      </w:r>
      <w:r>
        <w:rPr>
          <w:rFonts w:ascii="Times New Roman CYR" w:hAnsi="Times New Roman CYR" w:cs="Times New Roman CYR"/>
          <w:sz w:val="28"/>
          <w:szCs w:val="28"/>
        </w:rPr>
        <w:t>.</w:t>
      </w:r>
      <w:r>
        <w:rPr>
          <w:rFonts w:ascii="Times New Roman CYR" w:hAnsi="Times New Roman CYR" w:cs="Times New Roman CYR"/>
          <w:sz w:val="28"/>
          <w:szCs w:val="28"/>
          <w:lang w:val="en-US"/>
        </w:rPr>
        <w:t>org</w:t>
      </w:r>
      <w:r>
        <w:rPr>
          <w:rFonts w:ascii="Times New Roman CYR" w:hAnsi="Times New Roman CYR" w:cs="Times New Roman CYR"/>
          <w:sz w:val="28"/>
          <w:szCs w:val="28"/>
        </w:rPr>
        <w:t xml:space="preserve"> и </w:t>
      </w:r>
      <w:r>
        <w:rPr>
          <w:rFonts w:ascii="Times New Roman CYR" w:hAnsi="Times New Roman CYR" w:cs="Times New Roman CYR"/>
          <w:sz w:val="28"/>
          <w:szCs w:val="28"/>
          <w:lang w:val="en-US"/>
        </w:rPr>
        <w:t>Investment</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Company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Institute</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URL</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https</w:t>
      </w:r>
      <w:r>
        <w:rPr>
          <w:rFonts w:ascii="Times New Roman CYR" w:hAnsi="Times New Roman CYR" w:cs="Times New Roman CYR"/>
          <w:sz w:val="28"/>
          <w:szCs w:val="28"/>
        </w:rPr>
        <w:t>://</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ici</w:t>
      </w:r>
      <w:r>
        <w:rPr>
          <w:rFonts w:ascii="Times New Roman CYR" w:hAnsi="Times New Roman CYR" w:cs="Times New Roman CYR"/>
          <w:sz w:val="28"/>
          <w:szCs w:val="28"/>
        </w:rPr>
        <w:t>.</w:t>
      </w:r>
      <w:r>
        <w:rPr>
          <w:rFonts w:ascii="Times New Roman CYR" w:hAnsi="Times New Roman CYR" w:cs="Times New Roman CYR"/>
          <w:sz w:val="28"/>
          <w:szCs w:val="28"/>
          <w:lang w:val="en-US"/>
        </w:rPr>
        <w:t>org</w:t>
      </w:r>
      <w:r>
        <w:rPr>
          <w:rFonts w:ascii="Times New Roman CYR" w:hAnsi="Times New Roman CYR" w:cs="Times New Roman CYR"/>
          <w:sz w:val="28"/>
          <w:szCs w:val="28"/>
        </w:rPr>
        <w:t>/</w:t>
      </w:r>
      <w:r>
        <w:rPr>
          <w:rFonts w:ascii="Times New Roman CYR" w:hAnsi="Times New Roman CYR" w:cs="Times New Roman CYR"/>
          <w:sz w:val="28"/>
          <w:szCs w:val="28"/>
          <w:lang w:val="en-US"/>
        </w:rPr>
        <w:t>pdf</w:t>
      </w:r>
      <w:r>
        <w:rPr>
          <w:rFonts w:ascii="Times New Roman CYR" w:hAnsi="Times New Roman CYR" w:cs="Times New Roman CYR"/>
          <w:sz w:val="28"/>
          <w:szCs w:val="28"/>
        </w:rPr>
        <w:t>/2015_</w:t>
      </w:r>
      <w:r>
        <w:rPr>
          <w:rFonts w:ascii="Times New Roman CYR" w:hAnsi="Times New Roman CYR" w:cs="Times New Roman CYR"/>
          <w:sz w:val="28"/>
          <w:szCs w:val="28"/>
          <w:lang w:val="en-US"/>
        </w:rPr>
        <w:t>factbook</w:t>
      </w:r>
      <w:r>
        <w:rPr>
          <w:rFonts w:ascii="Times New Roman CYR" w:hAnsi="Times New Roman CYR" w:cs="Times New Roman CYR"/>
          <w:sz w:val="28"/>
          <w:szCs w:val="28"/>
        </w:rPr>
        <w:t>.</w:t>
      </w:r>
      <w:r>
        <w:rPr>
          <w:rFonts w:ascii="Times New Roman CYR" w:hAnsi="Times New Roman CYR" w:cs="Times New Roman CYR"/>
          <w:sz w:val="28"/>
          <w:szCs w:val="28"/>
          <w:lang w:val="en-US"/>
        </w:rPr>
        <w:t>pdf</w:t>
      </w:r>
      <w:r>
        <w:rPr>
          <w:rFonts w:ascii="Times New Roman CYR" w:hAnsi="Times New Roman CYR" w:cs="Times New Roman CYR"/>
          <w:sz w:val="28"/>
          <w:szCs w:val="28"/>
        </w:rPr>
        <w:t xml:space="preserve"> .</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сегодняшний день существование взаимных фондов позволяет частным инвесторам решить целый набор задач, связанных с управлением сбережениями. Во-первы</w:t>
      </w:r>
      <w:r>
        <w:rPr>
          <w:rFonts w:ascii="Times New Roman CYR" w:hAnsi="Times New Roman CYR" w:cs="Times New Roman CYR"/>
          <w:sz w:val="28"/>
          <w:szCs w:val="28"/>
        </w:rPr>
        <w:t>х, управление инвестициями осуществляет профессиональный участник рынка - управляющая компания, что позволяет инвестировать людям, не имеющим компетенций в области финансовых рынков. Во-вторых, взаимные фонды открывают возможность диверсификации для частны</w:t>
      </w:r>
      <w:r>
        <w:rPr>
          <w:rFonts w:ascii="Times New Roman CYR" w:hAnsi="Times New Roman CYR" w:cs="Times New Roman CYR"/>
          <w:sz w:val="28"/>
          <w:szCs w:val="28"/>
        </w:rPr>
        <w:t xml:space="preserve">х инвесторов. Для того чтобы создать диверсифицированный портфель, инвестору нужно купить разные бумаги в определенном количестве, </w:t>
      </w:r>
      <w:r>
        <w:rPr>
          <w:rFonts w:ascii="Times New Roman CYR" w:hAnsi="Times New Roman CYR" w:cs="Times New Roman CYR"/>
          <w:sz w:val="28"/>
          <w:szCs w:val="28"/>
        </w:rPr>
        <w:lastRenderedPageBreak/>
        <w:t>однако это не всегда возможно в виду ограниченности средств у мелкого инвестора. Поэтому, покупая акции взаимного фонда, инве</w:t>
      </w:r>
      <w:r>
        <w:rPr>
          <w:rFonts w:ascii="Times New Roman CYR" w:hAnsi="Times New Roman CYR" w:cs="Times New Roman CYR"/>
          <w:sz w:val="28"/>
          <w:szCs w:val="28"/>
        </w:rPr>
        <w:t xml:space="preserve">стор решает проблему нехватки средств, приобретая доступ к доле в диверсифицированном портфеле фонда. И наконец, коллективное инвестирование помогает инвесторам снизить транзакционные издержки, связанные с покупкой ценных бумаг, что увеличивает доходность </w:t>
      </w:r>
      <w:r>
        <w:rPr>
          <w:rFonts w:ascii="Times New Roman CYR" w:hAnsi="Times New Roman CYR" w:cs="Times New Roman CYR"/>
          <w:sz w:val="28"/>
          <w:szCs w:val="28"/>
        </w:rPr>
        <w:t>от инвестирования. Все это делает взаимные фонды важной составляющей инвестиционных рынков, позволяющей охватить широкий круг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.2 Развитие рынка ПИФов в России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России индустрия взаимных фондов (а точнее их российских аналогов - паевых инвест</w:t>
      </w:r>
      <w:r>
        <w:rPr>
          <w:rFonts w:ascii="Times New Roman CYR" w:hAnsi="Times New Roman CYR" w:cs="Times New Roman CYR"/>
          <w:sz w:val="28"/>
          <w:szCs w:val="28"/>
        </w:rPr>
        <w:t xml:space="preserve">иционных фондов) находится на раннем этапе своего развития. Первые ПИФы были основаны в 1996 году </w:t>
      </w:r>
      <w:r>
        <w:rPr>
          <w:rFonts w:ascii="Times New Roman CYR" w:hAnsi="Times New Roman CYR" w:cs="Times New Roman CYR"/>
          <w:noProof/>
          <w:sz w:val="28"/>
          <w:szCs w:val="28"/>
        </w:rPr>
        <w:t>(Батяева, и др., 2006)</w:t>
      </w:r>
      <w:r>
        <w:rPr>
          <w:rFonts w:ascii="Times New Roman CYR" w:hAnsi="Times New Roman CYR" w:cs="Times New Roman CYR"/>
          <w:sz w:val="28"/>
          <w:szCs w:val="28"/>
        </w:rPr>
        <w:t>, но развитие отрасли происходило не такими бурными темпами, как в США. Изначально российские паевые инвестиционные фонды задумывались к</w:t>
      </w:r>
      <w:r>
        <w:rPr>
          <w:rFonts w:ascii="Times New Roman CYR" w:hAnsi="Times New Roman CYR" w:cs="Times New Roman CYR"/>
          <w:sz w:val="28"/>
          <w:szCs w:val="28"/>
        </w:rPr>
        <w:t>ак классический инструмент коллективного инвестирования, призванный привлечь в экономику деньги широких масс населения. Однако приток денежных средств в ПИФы, получаемый за счет розничных инвесторов, оказался недостаточным для их желаемой прибыльности, бла</w:t>
      </w:r>
      <w:r>
        <w:rPr>
          <w:rFonts w:ascii="Times New Roman CYR" w:hAnsi="Times New Roman CYR" w:cs="Times New Roman CYR"/>
          <w:sz w:val="28"/>
          <w:szCs w:val="28"/>
        </w:rPr>
        <w:t>годаря чему управляющие компании начали осваивать новую область деятельности - закрытые фонды, предназначенные в большей степени для квалифицированных инвесторов</w:t>
      </w:r>
      <w:r>
        <w:rPr>
          <w:rFonts w:ascii="Times New Roman CYR" w:hAnsi="Times New Roman CYR" w:cs="Times New Roman CYR"/>
          <w:noProof/>
          <w:sz w:val="28"/>
          <w:szCs w:val="28"/>
        </w:rPr>
        <w:t xml:space="preserve"> (Абрамов,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Первые закрытые ПИФы появились в 2003 году и стали активно наращивать свои ак</w:t>
      </w:r>
      <w:r>
        <w:rPr>
          <w:rFonts w:ascii="Times New Roman CYR" w:hAnsi="Times New Roman CYR" w:cs="Times New Roman CYR"/>
          <w:sz w:val="28"/>
          <w:szCs w:val="28"/>
        </w:rPr>
        <w:t xml:space="preserve">тивы, благодаря чему на конец 2015 года открытые и интервальные инвестиционные фонды вместе по объему активов составляют менее 20% от общего объема средств ПИФов - Источник: Расчеты автора на основании данных Национальной Лиги Управляющих. </w:t>
      </w:r>
      <w:r>
        <w:rPr>
          <w:rFonts w:ascii="Times New Roman CYR" w:hAnsi="Times New Roman CYR" w:cs="Times New Roman CYR"/>
          <w:sz w:val="28"/>
          <w:szCs w:val="28"/>
          <w:lang w:val="en-US"/>
        </w:rPr>
        <w:t>URL</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w:t>
      </w:r>
      <w:r>
        <w:rPr>
          <w:rFonts w:ascii="Times New Roman CYR" w:hAnsi="Times New Roman CYR" w:cs="Times New Roman CYR"/>
          <w:sz w:val="28"/>
          <w:szCs w:val="28"/>
        </w:rPr>
        <w:t xml:space="preserve">. Таким образом, на рынке сформировалась тенденция перехода от открытых фондов к </w:t>
      </w:r>
      <w:r>
        <w:rPr>
          <w:rFonts w:ascii="Times New Roman CYR" w:hAnsi="Times New Roman CYR" w:cs="Times New Roman CYR"/>
          <w:sz w:val="28"/>
          <w:szCs w:val="28"/>
        </w:rPr>
        <w:lastRenderedPageBreak/>
        <w:t>закрытым, от информационной прозрачности к недоступности информации и от фондов, направленных не широкий круг розничных инвесторов, к тем, кто направлен на ограниченный круг к</w:t>
      </w:r>
      <w:r>
        <w:rPr>
          <w:rFonts w:ascii="Times New Roman CYR" w:hAnsi="Times New Roman CYR" w:cs="Times New Roman CYR"/>
          <w:sz w:val="28"/>
          <w:szCs w:val="28"/>
        </w:rPr>
        <w:t>валифицированных или институциональных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декабрь 2015 года суммарные чистые активы ПИФов по данным Национальной лиги управляющих составляют 598 млрд. рублей, при этом на долю открытых и интервальных фондов приходится всего 117 млрд. рублей, чт</w:t>
      </w:r>
      <w:r>
        <w:rPr>
          <w:rFonts w:ascii="Times New Roman CYR" w:hAnsi="Times New Roman CYR" w:cs="Times New Roman CYR"/>
          <w:sz w:val="28"/>
          <w:szCs w:val="28"/>
        </w:rPr>
        <w:t xml:space="preserve">о составляет примерно 0,09% ВВП (см. рис. 1). </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154930" cy="279336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154930" cy="2793365"/>
                    </a:xfrm>
                    <a:prstGeom prst="rect">
                      <a:avLst/>
                    </a:prstGeom>
                    <a:noFill/>
                    <a:ln w="9525">
                      <a:noFill/>
                      <a:miter lim="800000"/>
                      <a:headEnd/>
                      <a:tailEnd/>
                    </a:ln>
                  </pic:spPr>
                </pic:pic>
              </a:graphicData>
            </a:graphic>
          </wp:inline>
        </w:drawing>
      </w:r>
    </w:p>
    <w:p w:rsidR="00000000" w:rsidRDefault="00F04042">
      <w:pPr>
        <w:widowControl w:val="0"/>
        <w:tabs>
          <w:tab w:val="left" w:pos="60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 1. Суммарные чистые активы российских открытых и интервальных ПИФов в 1997-2015 годах.</w:t>
      </w:r>
    </w:p>
    <w:p w:rsidR="00000000" w:rsidRDefault="00F04042">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Источник: расчеты автора на основании данных НЛУ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и Всемирного Банка</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worldbank</w:t>
      </w:r>
      <w:r>
        <w:rPr>
          <w:rFonts w:ascii="Times New Roman CYR" w:hAnsi="Times New Roman CYR" w:cs="Times New Roman CYR"/>
          <w:sz w:val="28"/>
          <w:szCs w:val="28"/>
        </w:rPr>
        <w:t>.</w:t>
      </w:r>
      <w:r>
        <w:rPr>
          <w:rFonts w:ascii="Times New Roman CYR" w:hAnsi="Times New Roman CYR" w:cs="Times New Roman CYR"/>
          <w:sz w:val="28"/>
          <w:szCs w:val="28"/>
          <w:lang w:val="en-US"/>
        </w:rPr>
        <w:t>org</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видно из рисунка 1, паевые инвестиционные фонды в России находились на пике развития в 2007 году, но так и не сумели восстановиться после падения 2008-2009 годов. Нужно отметить, что суммарные активы фондов сократились не только </w:t>
      </w:r>
      <w:r>
        <w:rPr>
          <w:rFonts w:ascii="Times New Roman CYR" w:hAnsi="Times New Roman CYR" w:cs="Times New Roman CYR"/>
          <w:sz w:val="28"/>
          <w:szCs w:val="28"/>
        </w:rPr>
        <w:t>в абсолютных значениях, но и по отношению к общему ВВП.</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Еще одной характеристикой относительного упадка отрасли может служить чистый приток денежных средств во взаимные фонды. На рисунке 2 показан нетто-приток средств в российские ПИФы, отображенный нараст</w:t>
      </w:r>
      <w:r>
        <w:rPr>
          <w:rFonts w:ascii="Times New Roman CYR" w:hAnsi="Times New Roman CYR" w:cs="Times New Roman CYR"/>
          <w:sz w:val="28"/>
          <w:szCs w:val="28"/>
        </w:rPr>
        <w:t>ающим итогом с 1997 года. Из графика видно, что до 2007 отрасль активно развивалась, привлекая все больше и больше новых инвестиций, однако после 2007 года в среднем наблюдается нетто-отток денежных средств: с конца 2007 года инвесторы забрали более 100 ми</w:t>
      </w:r>
      <w:r>
        <w:rPr>
          <w:rFonts w:ascii="Times New Roman CYR" w:hAnsi="Times New Roman CYR" w:cs="Times New Roman CYR"/>
          <w:sz w:val="28"/>
          <w:szCs w:val="28"/>
        </w:rPr>
        <w:t>ллиардов рублей из отрасли в целом.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054600" cy="275336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054600" cy="275336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 2. Нетто-приток средств в российские ПИФы, нарастающим итогом с 1997 по 2015 года</w:t>
      </w:r>
    </w:p>
    <w:p w:rsidR="00000000" w:rsidRDefault="00F04042">
      <w:pPr>
        <w:widowControl w:val="0"/>
        <w:tabs>
          <w:tab w:val="left" w:pos="74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Источник: расчеты автора на основании данных НЛУ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Тенденция к оттоку средств может б</w:t>
      </w:r>
      <w:r>
        <w:rPr>
          <w:rFonts w:ascii="Times New Roman CYR" w:hAnsi="Times New Roman CYR" w:cs="Times New Roman CYR"/>
          <w:sz w:val="28"/>
          <w:szCs w:val="28"/>
        </w:rPr>
        <w:t>ыть объяснена тем, что доходность вложений в ПИФы в среднем стала заметно более волатильной после кризиса 2008-2009 годов. Продолжительная волатильность на рынке отпугивает частных инвесторов, ограничивая и без того небольшой приток средств.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.3 Консолидац</w:t>
      </w:r>
      <w:r>
        <w:rPr>
          <w:rFonts w:ascii="Times New Roman CYR" w:hAnsi="Times New Roman CYR" w:cs="Times New Roman CYR"/>
          <w:b/>
          <w:bCs/>
          <w:sz w:val="28"/>
          <w:szCs w:val="28"/>
        </w:rPr>
        <w:t>ия отрасли российских ПИФов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При рассмотрении сделок слияния взаимных фондов принято разделять 3 типа разных сделок:</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Внутрисемейные, или сделки слияния фондов, находящихся под управлением одной управляющей компании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Межсемейные, или сделки слияния фондо</w:t>
      </w:r>
      <w:r>
        <w:rPr>
          <w:rFonts w:ascii="Times New Roman CYR" w:hAnsi="Times New Roman CYR" w:cs="Times New Roman CYR"/>
          <w:sz w:val="28"/>
          <w:szCs w:val="28"/>
        </w:rPr>
        <w:t>в, принадлежащих разным управляющим компаниям (право на управление в таком случае переходит к одной из участвующих управляющих компаний)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Слияние нескольких классов акций одного фонда в один. В таком случае количество фондов не уменьшается, просто происхо</w:t>
      </w:r>
      <w:r>
        <w:rPr>
          <w:rFonts w:ascii="Times New Roman CYR" w:hAnsi="Times New Roman CYR" w:cs="Times New Roman CYR"/>
          <w:sz w:val="28"/>
          <w:szCs w:val="28"/>
        </w:rPr>
        <w:t>дит укрупнение классов его акций.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показывает Абрамов, до 2011 года концентрация отрасли паевых инвестиционных фондов в России постоянно уменьшалась благодаря приходу новых игроков на рынок</w:t>
      </w:r>
      <w:r>
        <w:rPr>
          <w:rFonts w:ascii="Times New Roman CYR" w:hAnsi="Times New Roman CYR" w:cs="Times New Roman CYR"/>
          <w:noProof/>
          <w:sz w:val="28"/>
          <w:szCs w:val="28"/>
        </w:rPr>
        <w:t xml:space="preserve"> (Абрамов, и др., 2015)</w:t>
      </w:r>
      <w:r>
        <w:rPr>
          <w:rFonts w:ascii="Times New Roman CYR" w:hAnsi="Times New Roman CYR" w:cs="Times New Roman CYR"/>
          <w:sz w:val="28"/>
          <w:szCs w:val="28"/>
        </w:rPr>
        <w:t>. С 2011 года начинается обратный процесс</w:t>
      </w:r>
      <w:r>
        <w:rPr>
          <w:rFonts w:ascii="Times New Roman CYR" w:hAnsi="Times New Roman CYR" w:cs="Times New Roman CYR"/>
          <w:sz w:val="28"/>
          <w:szCs w:val="28"/>
        </w:rPr>
        <w:t xml:space="preserve"> и степень консолидации отрасли повышается.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Тем не менее, до 2014 года этот процесс двигался за счет преимущественно межсемейных сделок слияния. Основными мотивами этого процесса были приобретение фондов в процессе слияния финансовых корпораций, направленн</w:t>
      </w:r>
      <w:r>
        <w:rPr>
          <w:rFonts w:ascii="Times New Roman CYR" w:hAnsi="Times New Roman CYR" w:cs="Times New Roman CYR"/>
          <w:sz w:val="28"/>
          <w:szCs w:val="28"/>
        </w:rPr>
        <w:t>ые стратегические приобретения и приобретения фондов в связи с уходом с рынка их управляющих компаний. Благодаря этим процессам к концу 2013 года Индекс Херфиндаля-Хиршмана для отрасли поднялся до 392 (182 в 2011), хотя это по-прежнему считается показателе</w:t>
      </w:r>
      <w:r>
        <w:rPr>
          <w:rFonts w:ascii="Times New Roman CYR" w:hAnsi="Times New Roman CYR" w:cs="Times New Roman CYR"/>
          <w:sz w:val="28"/>
          <w:szCs w:val="28"/>
        </w:rPr>
        <w:t>м слабой концентрированности отрасли</w:t>
      </w:r>
      <w:r>
        <w:rPr>
          <w:rFonts w:ascii="Times New Roman CYR" w:hAnsi="Times New Roman CYR" w:cs="Times New Roman CYR"/>
          <w:noProof/>
          <w:sz w:val="28"/>
          <w:szCs w:val="28"/>
        </w:rPr>
        <w:t xml:space="preserve"> (Абрамов, и др., 2015)</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Осуществление перехода фонда под управление к другой управляющей компании не предполагает смену его инвестиционной стратегии. В результате этого, у многих управляющих компаний появилось несколько</w:t>
      </w:r>
      <w:r>
        <w:rPr>
          <w:rFonts w:ascii="Times New Roman CYR" w:hAnsi="Times New Roman CYR" w:cs="Times New Roman CYR"/>
          <w:sz w:val="28"/>
          <w:szCs w:val="28"/>
        </w:rPr>
        <w:t xml:space="preserve"> фондов с дублирующими инвестиционными стратегиями, что является неэффективным с точки зрения управления и маркетинга. Тем не менее, эти фонды не могли быть объединены в один до недавнего времени в связи с несовершенством </w:t>
      </w:r>
      <w:r>
        <w:rPr>
          <w:rFonts w:ascii="Times New Roman CYR" w:hAnsi="Times New Roman CYR" w:cs="Times New Roman CYR"/>
          <w:sz w:val="28"/>
          <w:szCs w:val="28"/>
        </w:rPr>
        <w:lastRenderedPageBreak/>
        <w:t>законодательства России. Для того,</w:t>
      </w:r>
      <w:r>
        <w:rPr>
          <w:rFonts w:ascii="Times New Roman CYR" w:hAnsi="Times New Roman CYR" w:cs="Times New Roman CYR"/>
          <w:sz w:val="28"/>
          <w:szCs w:val="28"/>
        </w:rPr>
        <w:t xml:space="preserve"> чтобы объединить фонды в один до 2014 года управляющая компания должна была получить согласие всех пайщиков</w:t>
      </w:r>
      <w:r>
        <w:rPr>
          <w:rFonts w:ascii="Times New Roman CYR" w:hAnsi="Times New Roman CYR" w:cs="Times New Roman CYR"/>
          <w:noProof/>
          <w:sz w:val="28"/>
          <w:szCs w:val="28"/>
        </w:rPr>
        <w:t xml:space="preserve"> (Орлова, 2014)</w:t>
      </w:r>
      <w:r>
        <w:rPr>
          <w:rFonts w:ascii="Times New Roman CYR" w:hAnsi="Times New Roman CYR" w:cs="Times New Roman CYR"/>
          <w:sz w:val="28"/>
          <w:szCs w:val="28"/>
        </w:rPr>
        <w:t>. С учетом того, что получить подписи всех пайщиков - трудо- и ресурсозатратное мероприятие, фонды продолжали работать с дублирующими</w:t>
      </w:r>
      <w:r>
        <w:rPr>
          <w:rFonts w:ascii="Times New Roman CYR" w:hAnsi="Times New Roman CYR" w:cs="Times New Roman CYR"/>
          <w:sz w:val="28"/>
          <w:szCs w:val="28"/>
        </w:rPr>
        <w:t xml:space="preserve"> стратегиями.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2014 года процедуру упростили: теперь для того, чтобы объединить фонды, управляющей компании достаточно лишь уведомить акционеров за 30 дней до события. В течение этих 30 дней те акционеры, которые не согласны с данным решением, могут погас</w:t>
      </w:r>
      <w:r>
        <w:rPr>
          <w:rFonts w:ascii="Times New Roman CYR" w:hAnsi="Times New Roman CYR" w:cs="Times New Roman CYR"/>
          <w:sz w:val="28"/>
          <w:szCs w:val="28"/>
        </w:rPr>
        <w:t>ить свои паи и выйти из фонда</w:t>
      </w:r>
      <w:r>
        <w:rPr>
          <w:rFonts w:ascii="Times New Roman CYR" w:hAnsi="Times New Roman CYR" w:cs="Times New Roman CYR"/>
          <w:noProof/>
          <w:sz w:val="28"/>
          <w:szCs w:val="28"/>
        </w:rPr>
        <w:t xml:space="preserve"> (Камнева,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Благодаря этим изменением, 2014 и 2015 года ознаменовались волной внутрисемейных сделок слияния ПИФов, многие управляющие компании сильно уменьшили линейку своих фондов. Так, например, Сбербанк Управление Акти</w:t>
      </w:r>
      <w:r>
        <w:rPr>
          <w:rFonts w:ascii="Times New Roman CYR" w:hAnsi="Times New Roman CYR" w:cs="Times New Roman CYR"/>
          <w:sz w:val="28"/>
          <w:szCs w:val="28"/>
        </w:rPr>
        <w:t>вами превратил 10 своих фондов в 5</w:t>
      </w:r>
      <w:r>
        <w:rPr>
          <w:rFonts w:ascii="Times New Roman CYR" w:hAnsi="Times New Roman CYR" w:cs="Times New Roman CYR"/>
          <w:noProof/>
          <w:sz w:val="28"/>
          <w:szCs w:val="28"/>
        </w:rPr>
        <w:t xml:space="preserve"> (Орлова,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.4 Эффективность российских ПИФов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Российские ПИФы имеют неплохой потенциал роста. Как показывают в своей работе Абрамов А. и Акшенцева К., на промежутке с 2001 по 2012 года ПИФы в среднем обыгрывали инфл</w:t>
      </w:r>
      <w:r>
        <w:rPr>
          <w:rFonts w:ascii="Times New Roman CYR" w:hAnsi="Times New Roman CYR" w:cs="Times New Roman CYR"/>
          <w:sz w:val="28"/>
          <w:szCs w:val="28"/>
        </w:rPr>
        <w:t xml:space="preserve">яцию на 5% годовых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На рисунке 3 показаны индексы доходности ОПИФов акций и облигаций в сравнении с инфляцией в России.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extent cx="4200525" cy="23717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200525" cy="237172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 3. Доходность российских ОПИФов акций и облигаций в сравнении с инфляци</w:t>
      </w:r>
      <w:r>
        <w:rPr>
          <w:rFonts w:ascii="Times New Roman CYR" w:hAnsi="Times New Roman CYR" w:cs="Times New Roman CYR"/>
          <w:sz w:val="28"/>
          <w:szCs w:val="28"/>
        </w:rPr>
        <w:t>ей</w:t>
      </w:r>
    </w:p>
    <w:p w:rsidR="00000000" w:rsidRDefault="00F04042">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Источник: расчеты автора на основании данных НЛУ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и ФСГС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gks</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w:t>
      </w:r>
    </w:p>
    <w:p w:rsidR="00000000" w:rsidRDefault="00F04042">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графике видно, что в целом и ОПИФы акций, и ОПИФы облигаций сумели обыграть инфляцию на промежутке с 1997 по 2015 года, при чем ОПИФы облигаций опередили инфляцию поч</w:t>
      </w:r>
      <w:r>
        <w:rPr>
          <w:rFonts w:ascii="Times New Roman CYR" w:hAnsi="Times New Roman CYR" w:cs="Times New Roman CYR"/>
          <w:sz w:val="28"/>
          <w:szCs w:val="28"/>
        </w:rPr>
        <w:t>ти в 3 раза за этот период.</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Сравнение с инфляцией показывает, что инвестирование в ПИФы может помочь гражданам сохранить и даже приумножить свои сбережения, невзирая на довольно высокий уровень инфляции в России на протяжении последних лет. Тем не менее, п</w:t>
      </w:r>
      <w:r>
        <w:rPr>
          <w:rFonts w:ascii="Times New Roman CYR" w:hAnsi="Times New Roman CYR" w:cs="Times New Roman CYR"/>
          <w:sz w:val="28"/>
          <w:szCs w:val="28"/>
        </w:rPr>
        <w:t>рофессиональные инвесторы чаще оценивают доходность своих вложений в сравнении с соответствующими индексами. Для этой цели на рисунках 4 и 5 показана доходность ОПИФов акций и облигаций в сравнении с соответствующими им бенчмарками (индексом ММВБ для фондо</w:t>
      </w:r>
      <w:r>
        <w:rPr>
          <w:rFonts w:ascii="Times New Roman CYR" w:hAnsi="Times New Roman CYR" w:cs="Times New Roman CYR"/>
          <w:sz w:val="28"/>
          <w:szCs w:val="28"/>
        </w:rPr>
        <w:t xml:space="preserve">в акций и индексом корпоративных облигаций </w:t>
      </w:r>
      <w:r>
        <w:rPr>
          <w:rFonts w:ascii="Times New Roman CYR" w:hAnsi="Times New Roman CYR" w:cs="Times New Roman CYR"/>
          <w:sz w:val="28"/>
          <w:szCs w:val="28"/>
          <w:lang w:val="en-US"/>
        </w:rPr>
        <w:t>Cbonds</w:t>
      </w:r>
      <w:r>
        <w:rPr>
          <w:rFonts w:ascii="Times New Roman CYR" w:hAnsi="Times New Roman CYR" w:cs="Times New Roman CYR"/>
          <w:sz w:val="28"/>
          <w:szCs w:val="28"/>
        </w:rPr>
        <w:t xml:space="preserve"> для облигационных фондов).</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extent cx="5225415" cy="299466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225415" cy="2994660"/>
                    </a:xfrm>
                    <a:prstGeom prst="rect">
                      <a:avLst/>
                    </a:prstGeom>
                    <a:noFill/>
                    <a:ln w="9525">
                      <a:noFill/>
                      <a:miter lim="800000"/>
                      <a:headEnd/>
                      <a:tailEnd/>
                    </a:ln>
                  </pic:spPr>
                </pic:pic>
              </a:graphicData>
            </a:graphic>
          </wp:inline>
        </w:drawing>
      </w:r>
    </w:p>
    <w:p w:rsidR="00000000" w:rsidRDefault="00F04042">
      <w:pPr>
        <w:widowControl w:val="0"/>
        <w:tabs>
          <w:tab w:val="left" w:pos="88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 4. Доходность российских ОПИФов акций в сравнении с индексом ММВБ и инфляцией за период 2002-2015.</w:t>
      </w:r>
    </w:p>
    <w:p w:rsidR="00000000" w:rsidRDefault="00F04042">
      <w:pPr>
        <w:widowControl w:val="0"/>
        <w:tabs>
          <w:tab w:val="left" w:pos="88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Источник: расчеты автора на основании данных НЛУ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ФСГС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gks</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и Московской биржи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moex</w:t>
      </w:r>
      <w:r>
        <w:rPr>
          <w:rFonts w:ascii="Times New Roman CYR" w:hAnsi="Times New Roman CYR" w:cs="Times New Roman CYR"/>
          <w:sz w:val="28"/>
          <w:szCs w:val="28"/>
        </w:rPr>
        <w:t>.</w:t>
      </w:r>
      <w:r>
        <w:rPr>
          <w:rFonts w:ascii="Times New Roman CYR" w:hAnsi="Times New Roman CYR" w:cs="Times New Roman CYR"/>
          <w:sz w:val="28"/>
          <w:szCs w:val="28"/>
          <w:lang w:val="en-US"/>
        </w:rPr>
        <w:t>com</w:t>
      </w:r>
      <w:r>
        <w:rPr>
          <w:rFonts w:ascii="Times New Roman CYR" w:hAnsi="Times New Roman CYR" w:cs="Times New Roman CYR"/>
          <w:sz w:val="28"/>
          <w:szCs w:val="28"/>
        </w:rPr>
        <w:t>).</w:t>
      </w:r>
    </w:p>
    <w:p w:rsidR="00000000" w:rsidRDefault="00F04042">
      <w:pPr>
        <w:widowControl w:val="0"/>
        <w:tabs>
          <w:tab w:val="left" w:pos="88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r w:rsidR="003549B8">
        <w:rPr>
          <w:rFonts w:ascii="Microsoft Sans Serif" w:hAnsi="Microsoft Sans Serif" w:cs="Microsoft Sans Serif"/>
          <w:noProof/>
          <w:sz w:val="17"/>
          <w:szCs w:val="17"/>
        </w:rPr>
        <w:lastRenderedPageBreak/>
        <w:drawing>
          <wp:inline distT="0" distB="0" distL="0" distR="0">
            <wp:extent cx="4260215" cy="2220595"/>
            <wp:effectExtent l="1905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260215" cy="2220595"/>
                    </a:xfrm>
                    <a:prstGeom prst="rect">
                      <a:avLst/>
                    </a:prstGeom>
                    <a:noFill/>
                    <a:ln w="9525">
                      <a:noFill/>
                      <a:miter lim="800000"/>
                      <a:headEnd/>
                      <a:tailEnd/>
                    </a:ln>
                  </pic:spPr>
                </pic:pic>
              </a:graphicData>
            </a:graphic>
          </wp:inline>
        </w:drawing>
      </w:r>
    </w:p>
    <w:p w:rsidR="00000000" w:rsidRDefault="00F04042">
      <w:pPr>
        <w:widowControl w:val="0"/>
        <w:tabs>
          <w:tab w:val="left" w:pos="60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Рис. 5. Доходность российских ОПИФов акций в сравнении с индексом корпоративных облигаций </w:t>
      </w:r>
      <w:r>
        <w:rPr>
          <w:rFonts w:ascii="Times New Roman CYR" w:hAnsi="Times New Roman CYR" w:cs="Times New Roman CYR"/>
          <w:sz w:val="28"/>
          <w:szCs w:val="28"/>
          <w:lang w:val="en-US"/>
        </w:rPr>
        <w:t>Cbonds</w:t>
      </w:r>
      <w:r>
        <w:rPr>
          <w:rFonts w:ascii="Times New Roman CYR" w:hAnsi="Times New Roman CYR" w:cs="Times New Roman CYR"/>
          <w:sz w:val="28"/>
          <w:szCs w:val="28"/>
        </w:rPr>
        <w:t xml:space="preserve"> и инфляцией за период 2002-2015.</w:t>
      </w:r>
    </w:p>
    <w:p w:rsidR="00000000" w:rsidRDefault="00F04042">
      <w:pPr>
        <w:widowControl w:val="0"/>
        <w:tabs>
          <w:tab w:val="left" w:pos="60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Источник: расчеты автора на основании данных НЛУ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nlu</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ФСГС (</w:t>
      </w:r>
      <w:r>
        <w:rPr>
          <w:rFonts w:ascii="Times New Roman CYR" w:hAnsi="Times New Roman CYR" w:cs="Times New Roman CYR"/>
          <w:sz w:val="28"/>
          <w:szCs w:val="28"/>
          <w:lang w:val="en-US"/>
        </w:rPr>
        <w:t>www</w:t>
      </w:r>
      <w:r>
        <w:rPr>
          <w:rFonts w:ascii="Times New Roman CYR" w:hAnsi="Times New Roman CYR" w:cs="Times New Roman CYR"/>
          <w:sz w:val="28"/>
          <w:szCs w:val="28"/>
        </w:rPr>
        <w:t>.</w:t>
      </w:r>
      <w:r>
        <w:rPr>
          <w:rFonts w:ascii="Times New Roman CYR" w:hAnsi="Times New Roman CYR" w:cs="Times New Roman CYR"/>
          <w:sz w:val="28"/>
          <w:szCs w:val="28"/>
          <w:lang w:val="en-US"/>
        </w:rPr>
        <w:t>gks</w:t>
      </w:r>
      <w:r>
        <w:rPr>
          <w:rFonts w:ascii="Times New Roman CYR" w:hAnsi="Times New Roman CYR" w:cs="Times New Roman CYR"/>
          <w:sz w:val="28"/>
          <w:szCs w:val="28"/>
        </w:rPr>
        <w:t>.</w:t>
      </w:r>
      <w:r>
        <w:rPr>
          <w:rFonts w:ascii="Times New Roman CYR" w:hAnsi="Times New Roman CYR" w:cs="Times New Roman CYR"/>
          <w:sz w:val="28"/>
          <w:szCs w:val="28"/>
          <w:lang w:val="en-US"/>
        </w:rPr>
        <w:t>ru</w:t>
      </w:r>
      <w:r>
        <w:rPr>
          <w:rFonts w:ascii="Times New Roman CYR" w:hAnsi="Times New Roman CYR" w:cs="Times New Roman CYR"/>
          <w:sz w:val="28"/>
          <w:szCs w:val="28"/>
        </w:rPr>
        <w:t>) и агент</w:t>
      </w:r>
      <w:r>
        <w:rPr>
          <w:rFonts w:ascii="Times New Roman CYR" w:hAnsi="Times New Roman CYR" w:cs="Times New Roman CYR"/>
          <w:sz w:val="28"/>
          <w:szCs w:val="28"/>
        </w:rPr>
        <w:t xml:space="preserve">ства </w:t>
      </w:r>
      <w:r>
        <w:rPr>
          <w:rFonts w:ascii="Times New Roman CYR" w:hAnsi="Times New Roman CYR" w:cs="Times New Roman CYR"/>
          <w:sz w:val="28"/>
          <w:szCs w:val="28"/>
          <w:lang w:val="en-US"/>
        </w:rPr>
        <w:t>Cbonds</w:t>
      </w:r>
      <w:r>
        <w:rPr>
          <w:rFonts w:ascii="Times New Roman CYR" w:hAnsi="Times New Roman CYR" w:cs="Times New Roman CYR"/>
          <w:sz w:val="28"/>
          <w:szCs w:val="28"/>
        </w:rPr>
        <w:t xml:space="preserve"> (ru.cbonds.info).</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видно из рисунков 4 и 5, российские ОПИФы в 2002-2015 годах приносили доходность, достаточную для того, чтобы обыграть рынок, хотя и ненамного. Конечно, этот результат меняется в зависимости от выбранного горизонта инвест</w:t>
      </w:r>
      <w:r>
        <w:rPr>
          <w:rFonts w:ascii="Times New Roman CYR" w:hAnsi="Times New Roman CYR" w:cs="Times New Roman CYR"/>
          <w:sz w:val="28"/>
          <w:szCs w:val="28"/>
        </w:rPr>
        <w:t xml:space="preserve">ирования. Так, например, Абрамов показывает, что на промежутке времени с 2004 по 2013 год ПИФы в среднем проигрывали бенчмаркам </w:t>
      </w:r>
      <w:r>
        <w:rPr>
          <w:rFonts w:ascii="Times New Roman CYR" w:hAnsi="Times New Roman CYR" w:cs="Times New Roman CYR"/>
          <w:noProof/>
          <w:sz w:val="28"/>
          <w:szCs w:val="28"/>
        </w:rPr>
        <w:t>(Абрамов, и др., 2015)</w:t>
      </w:r>
      <w:r>
        <w:rPr>
          <w:rFonts w:ascii="Times New Roman CYR" w:hAnsi="Times New Roman CYR" w:cs="Times New Roman CYR"/>
          <w:sz w:val="28"/>
          <w:szCs w:val="28"/>
        </w:rPr>
        <w:t xml:space="preserve">. Тем не менее, по мнению авторов, такую тенденцию удастся преодолеть при снижении издержек по управлению </w:t>
      </w:r>
      <w:r>
        <w:rPr>
          <w:rFonts w:ascii="Times New Roman CYR" w:hAnsi="Times New Roman CYR" w:cs="Times New Roman CYR"/>
          <w:sz w:val="28"/>
          <w:szCs w:val="28"/>
        </w:rPr>
        <w:t>фондами.</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показанные выше результаты говорят о том, что российские ПИФы имеют хороший потенциал развития и могут рассматриваться как неплохой инвестиционный инструмент для розничного инвестора.</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1.5 Проблемы рынка и пути их решения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Основной </w:t>
      </w:r>
      <w:r>
        <w:rPr>
          <w:rFonts w:ascii="Times New Roman CYR" w:hAnsi="Times New Roman CYR" w:cs="Times New Roman CYR"/>
          <w:sz w:val="28"/>
          <w:szCs w:val="28"/>
        </w:rPr>
        <w:t xml:space="preserve">проблемой российских паевых инвестиционных фондов является недостаток притока долгосрочных средств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Абрамов и Акшенцева особое внимание уделяли тому факту, что в России отсутствуют налоговые льготы для вкладчиков, что не позволяет ро</w:t>
      </w:r>
      <w:r>
        <w:rPr>
          <w:rFonts w:ascii="Times New Roman CYR" w:hAnsi="Times New Roman CYR" w:cs="Times New Roman CYR"/>
          <w:sz w:val="28"/>
          <w:szCs w:val="28"/>
        </w:rPr>
        <w:t xml:space="preserve">ссийским частным инвесторам рассматривать вложение в ПИФы как долгосрочный способ инвестирования. Однако, надо признать, что с открытием индивидуальных инвестиционных счетов и возможностью получения налогового вычета по ним данный вопрос отходит на второй </w:t>
      </w:r>
      <w:r>
        <w:rPr>
          <w:rFonts w:ascii="Times New Roman CYR" w:hAnsi="Times New Roman CYR" w:cs="Times New Roman CYR"/>
          <w:sz w:val="28"/>
          <w:szCs w:val="28"/>
        </w:rPr>
        <w:t>план</w:t>
      </w:r>
      <w:r>
        <w:rPr>
          <w:rFonts w:ascii="Times New Roman CYR" w:hAnsi="Times New Roman CYR" w:cs="Times New Roman CYR"/>
          <w:noProof/>
          <w:sz w:val="28"/>
          <w:szCs w:val="28"/>
        </w:rPr>
        <w:t xml:space="preserve"> (Коваль, 2015)</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Кроме того, из-за законодательных ограничений на вложение пенсионных накоплений в ПИФы, фонды теряют очень важного долгосрочного инвестора - Пенсионный фонд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Недостаток взаимодействия ПИФов и негосударственных пе</w:t>
      </w:r>
      <w:r>
        <w:rPr>
          <w:rFonts w:ascii="Times New Roman CYR" w:hAnsi="Times New Roman CYR" w:cs="Times New Roman CYR"/>
          <w:sz w:val="28"/>
          <w:szCs w:val="28"/>
        </w:rPr>
        <w:t xml:space="preserve">нсионных фондов, а также экономическая неэффективность многих ПИФов и каналов продаж инвестиционных паев, также оказывают негативное влияние на отрасль в России </w:t>
      </w:r>
      <w:r>
        <w:rPr>
          <w:rFonts w:ascii="Times New Roman CYR" w:hAnsi="Times New Roman CYR" w:cs="Times New Roman CYR"/>
          <w:noProof/>
          <w:sz w:val="28"/>
          <w:szCs w:val="28"/>
        </w:rPr>
        <w:t>(Абрамов, 2014)</w:t>
      </w:r>
      <w:r>
        <w:rPr>
          <w:rFonts w:ascii="Times New Roman CYR" w:hAnsi="Times New Roman CYR" w:cs="Times New Roman CYR"/>
          <w:sz w:val="28"/>
          <w:szCs w:val="28"/>
        </w:rPr>
        <w:t>. Кроме того, российские ПИФы являются в большинстве своем мелкими, что сильно о</w:t>
      </w:r>
      <w:r>
        <w:rPr>
          <w:rFonts w:ascii="Times New Roman CYR" w:hAnsi="Times New Roman CYR" w:cs="Times New Roman CYR"/>
          <w:sz w:val="28"/>
          <w:szCs w:val="28"/>
        </w:rPr>
        <w:t xml:space="preserve">граничивает их возможность экономии от масштаба; хотя в последнее время наблюдается довольно заметная тенденция к сокращению управляющих компаний, а, значит, большей концентрации отрасли </w:t>
      </w:r>
      <w:r>
        <w:rPr>
          <w:rFonts w:ascii="Times New Roman CYR" w:hAnsi="Times New Roman CYR" w:cs="Times New Roman CYR"/>
          <w:noProof/>
          <w:sz w:val="28"/>
          <w:szCs w:val="28"/>
        </w:rPr>
        <w:t>(Абрамов, 2014) (Абрамов, и др., 2014)</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целом, у рынка отсутствует в</w:t>
      </w:r>
      <w:r>
        <w:rPr>
          <w:rFonts w:ascii="Times New Roman CYR" w:hAnsi="Times New Roman CYR" w:cs="Times New Roman CYR"/>
          <w:sz w:val="28"/>
          <w:szCs w:val="28"/>
        </w:rPr>
        <w:t xml:space="preserve">нятная и последовательная стратегия развития, отрасль игнорируется в программах по развитию финансовых рынков </w:t>
      </w:r>
      <w:r>
        <w:rPr>
          <w:rFonts w:ascii="Times New Roman CYR" w:hAnsi="Times New Roman CYR" w:cs="Times New Roman CYR"/>
          <w:noProof/>
          <w:sz w:val="28"/>
          <w:szCs w:val="28"/>
        </w:rPr>
        <w:t>(Абрамов, 2014 стр. 55)</w:t>
      </w:r>
      <w:r>
        <w:rPr>
          <w:rFonts w:ascii="Times New Roman CYR" w:hAnsi="Times New Roman CYR" w:cs="Times New Roman CYR"/>
          <w:sz w:val="28"/>
          <w:szCs w:val="28"/>
        </w:rPr>
        <w:t>. Этот пробел необходимо убрать, тщательно продумав механизмы развития. Стратегия развития должна включать в себя механизмы</w:t>
      </w:r>
      <w:r>
        <w:rPr>
          <w:rFonts w:ascii="Times New Roman CYR" w:hAnsi="Times New Roman CYR" w:cs="Times New Roman CYR"/>
          <w:sz w:val="28"/>
          <w:szCs w:val="28"/>
        </w:rPr>
        <w:t xml:space="preserve"> продаж паев, которые на данный момент не являются эффективными. В данном контексте централизация механизма дистрибуции паев, а также увеличение свободы в переведении средств между фондами и управляющими компаниями может существенно увеличить привлекательн</w:t>
      </w:r>
      <w:r>
        <w:rPr>
          <w:rFonts w:ascii="Times New Roman CYR" w:hAnsi="Times New Roman CYR" w:cs="Times New Roman CYR"/>
          <w:sz w:val="28"/>
          <w:szCs w:val="28"/>
        </w:rPr>
        <w:t xml:space="preserve">ость рынка </w:t>
      </w:r>
      <w:r>
        <w:rPr>
          <w:rFonts w:ascii="Times New Roman CYR" w:hAnsi="Times New Roman CYR" w:cs="Times New Roman CYR"/>
          <w:noProof/>
          <w:sz w:val="28"/>
          <w:szCs w:val="28"/>
        </w:rPr>
        <w:t>(Абрамов, 2014)</w:t>
      </w:r>
      <w:r>
        <w:rPr>
          <w:rFonts w:ascii="Times New Roman CYR" w:hAnsi="Times New Roman CYR" w:cs="Times New Roman CYR"/>
          <w:sz w:val="28"/>
          <w:szCs w:val="28"/>
        </w:rPr>
        <w:t>.</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Еще одной проблемой отрасли является закрытость информации по многим закрытым фондам, что способствует созданию фондов с сомнительными активами и инвестиционными стратегиями. Информационная непрозрачность большинства ПИФов в отр</w:t>
      </w:r>
      <w:r>
        <w:rPr>
          <w:rFonts w:ascii="Times New Roman CYR" w:hAnsi="Times New Roman CYR" w:cs="Times New Roman CYR"/>
          <w:sz w:val="28"/>
          <w:szCs w:val="28"/>
        </w:rPr>
        <w:t>асли бросает тень на всю отрасль в целом.</w:t>
      </w:r>
    </w:p>
    <w:p w:rsidR="00000000" w:rsidRDefault="00F04042">
      <w:pPr>
        <w:widowControl w:val="0"/>
        <w:shd w:val="clear" w:color="auto" w:fill="FFFFFF"/>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1.6 Обзор литературы, посвященной исследованиям факторов, влияющих на доходность и приток инвестиций во взаимные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Факторы, влияющие на доходность взаимных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Влияние различных факторов на доходность взаи</w:t>
      </w:r>
      <w:r>
        <w:rPr>
          <w:rFonts w:ascii="Times New Roman CYR" w:hAnsi="Times New Roman CYR" w:cs="Times New Roman CYR"/>
          <w:sz w:val="28"/>
          <w:szCs w:val="28"/>
        </w:rPr>
        <w:t>мных фондов - тема, достаточно хорошо освещенная в академических кругах, но при этом не теряющая своей актуальности. Большинство из этих работ основано на данных по рынку взаимных фондов США, что обусловлено его более ранним развитием и ранним появлением х</w:t>
      </w:r>
      <w:r>
        <w:rPr>
          <w:rFonts w:ascii="Times New Roman CYR" w:hAnsi="Times New Roman CYR" w:cs="Times New Roman CYR"/>
          <w:sz w:val="28"/>
          <w:szCs w:val="28"/>
        </w:rPr>
        <w:t>орошей статистической информации по этому рынку. В последнее время появляется все больше работ, исследующих эти взаимосвязи на других рынках.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Рассмотрим подробнее факторы, на которых наиболее часто останавливали свое внимание исследователи детерминант дохо</w:t>
      </w:r>
      <w:r>
        <w:rPr>
          <w:rFonts w:ascii="Times New Roman CYR" w:hAnsi="Times New Roman CYR" w:cs="Times New Roman CYR"/>
          <w:sz w:val="28"/>
          <w:szCs w:val="28"/>
        </w:rPr>
        <w:t>дности взаимных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Размер фонда.</w:t>
      </w:r>
      <w:r>
        <w:rPr>
          <w:rFonts w:ascii="Times New Roman CYR" w:hAnsi="Times New Roman CYR" w:cs="Times New Roman CYR"/>
          <w:sz w:val="28"/>
          <w:szCs w:val="28"/>
        </w:rPr>
        <w:t xml:space="preserve"> Чаще всего в качестве меры размера фонда используется сумма его чистых активов под управлением (СЧА). Большинство авторов сходятся в том мнении, что размер фонда отрицательно влияет на его доходность </w:t>
      </w:r>
      <w:r>
        <w:rPr>
          <w:rFonts w:ascii="Times New Roman CYR" w:hAnsi="Times New Roman CYR" w:cs="Times New Roman CYR"/>
          <w:noProof/>
          <w:sz w:val="28"/>
          <w:szCs w:val="28"/>
        </w:rPr>
        <w:t>(Chen, et al., 2004)</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(Berk, et al., 2004)</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(Pollet, et al., 2008)</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(Yan, 2008)</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(Chou, et al., 2014)</w:t>
      </w:r>
      <w:r>
        <w:rPr>
          <w:rFonts w:ascii="Times New Roman CYR" w:hAnsi="Times New Roman CYR" w:cs="Times New Roman CYR"/>
          <w:sz w:val="28"/>
          <w:szCs w:val="28"/>
        </w:rPr>
        <w:t>. Одной из причин такой зависимости может быть возрастание с ростом фонда издержек на поддержание достаточной ликвидности паев. Интересно отметить, что под</w:t>
      </w:r>
      <w:r>
        <w:rPr>
          <w:rFonts w:ascii="Times New Roman CYR" w:hAnsi="Times New Roman CYR" w:cs="Times New Roman CYR"/>
          <w:sz w:val="28"/>
          <w:szCs w:val="28"/>
        </w:rPr>
        <w:t>обная зависимость наблюдается в работах по рынку США.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Так, Феррейра, Кесвани, Мигуель и Рамес проверяли зависимость доходности фонда от его размеров на примере кросс-секционной выборки из 27 стран и обнаружили, что избыточная доходность мелких фондов выше </w:t>
      </w:r>
      <w:r>
        <w:rPr>
          <w:rFonts w:ascii="Times New Roman CYR" w:hAnsi="Times New Roman CYR" w:cs="Times New Roman CYR"/>
          <w:sz w:val="28"/>
          <w:szCs w:val="28"/>
        </w:rPr>
        <w:t>только в США, в других странах зависимость обратная</w:t>
      </w:r>
      <w:r>
        <w:rPr>
          <w:rFonts w:ascii="Times New Roman CYR" w:hAnsi="Times New Roman CYR" w:cs="Times New Roman CYR"/>
          <w:noProof/>
          <w:sz w:val="28"/>
          <w:szCs w:val="28"/>
        </w:rPr>
        <w:t xml:space="preserve"> (Ferreira, et al., 2013)</w:t>
      </w:r>
      <w:r>
        <w:rPr>
          <w:rFonts w:ascii="Times New Roman CYR" w:hAnsi="Times New Roman CYR" w:cs="Times New Roman CYR"/>
          <w:sz w:val="28"/>
          <w:szCs w:val="28"/>
        </w:rPr>
        <w:t xml:space="preserve">. При этом, тот факт, что фонды в США в среднем имеют гораздо большие размеры, чем фонды за рубежом не играет роли: для более мелких фондов США, сравнимых по размеру с зарубежными </w:t>
      </w:r>
      <w:r>
        <w:rPr>
          <w:rFonts w:ascii="Times New Roman CYR" w:hAnsi="Times New Roman CYR" w:cs="Times New Roman CYR"/>
          <w:sz w:val="28"/>
          <w:szCs w:val="28"/>
        </w:rPr>
        <w:t xml:space="preserve">коллегами, зависимость остается отрицательной, однако, она исчезает для тех американских фондов, которые ориентированы на другие географические рынки (кроме Америки). Авторы также склонны объяснять эту теорию за счет проблем ликвидности: фонды в США более </w:t>
      </w:r>
      <w:r>
        <w:rPr>
          <w:rFonts w:ascii="Times New Roman CYR" w:hAnsi="Times New Roman CYR" w:cs="Times New Roman CYR"/>
          <w:sz w:val="28"/>
          <w:szCs w:val="28"/>
        </w:rPr>
        <w:t>склонны к инвестированию в низко ликвидные активы, чем фонды по всему миру. Кроме того, авторы полагают, что снятие географических ограничений на фонды открывает широкие возможности, которые превалируют над эффектом масштаба и "стирают" его.</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Выводы Феррейр</w:t>
      </w:r>
      <w:r>
        <w:rPr>
          <w:rFonts w:ascii="Times New Roman CYR" w:hAnsi="Times New Roman CYR" w:cs="Times New Roman CYR"/>
          <w:sz w:val="28"/>
          <w:szCs w:val="28"/>
        </w:rPr>
        <w:t xml:space="preserve">а и соавторов подтверждаются и на Российском рынке: для российских ПИФов присущ возрастающий эффект масштаба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Авторы предполагают, что на российском рынке проблема поддержания ликвидности для крупных фондов не актуальна ввиду отсутст</w:t>
      </w:r>
      <w:r>
        <w:rPr>
          <w:rFonts w:ascii="Times New Roman CYR" w:hAnsi="Times New Roman CYR" w:cs="Times New Roman CYR"/>
          <w:sz w:val="28"/>
          <w:szCs w:val="28"/>
        </w:rPr>
        <w:t>вия паевых супермаркетов. Кроме того, у крупных фондов есть неоспоримое преимущество перед мелкими в выборе наиболее хорошего управляющего активами.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Эффект "умных денег".</w:t>
      </w:r>
      <w:r>
        <w:rPr>
          <w:rFonts w:ascii="Times New Roman CYR" w:hAnsi="Times New Roman CYR" w:cs="Times New Roman CYR"/>
          <w:sz w:val="28"/>
          <w:szCs w:val="28"/>
        </w:rPr>
        <w:t xml:space="preserve"> Эффект "умных денег" или </w:t>
      </w:r>
      <w:r>
        <w:rPr>
          <w:rFonts w:ascii="Times New Roman CYR" w:hAnsi="Times New Roman CYR" w:cs="Times New Roman CYR"/>
          <w:sz w:val="28"/>
          <w:szCs w:val="28"/>
          <w:lang w:val="en-US"/>
        </w:rPr>
        <w:t>smart</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money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effect</w:t>
      </w:r>
      <w:r>
        <w:rPr>
          <w:rFonts w:ascii="Times New Roman CYR" w:hAnsi="Times New Roman CYR" w:cs="Times New Roman CYR"/>
          <w:sz w:val="28"/>
          <w:szCs w:val="28"/>
        </w:rPr>
        <w:t xml:space="preserve"> заключается в предположении о том, что ин</w:t>
      </w:r>
      <w:r>
        <w:rPr>
          <w:rFonts w:ascii="Times New Roman CYR" w:hAnsi="Times New Roman CYR" w:cs="Times New Roman CYR"/>
          <w:sz w:val="28"/>
          <w:szCs w:val="28"/>
        </w:rPr>
        <w:t>весторы обладают способностями и возможностями для выявления успешных управляющих и поэтому направляют свои деньги к ним. Таким образом, эффект "умных денег" подтверждается, если у фонда наблюдается положительная зависимость между доходностью в текущем пер</w:t>
      </w:r>
      <w:r>
        <w:rPr>
          <w:rFonts w:ascii="Times New Roman CYR" w:hAnsi="Times New Roman CYR" w:cs="Times New Roman CYR"/>
          <w:sz w:val="28"/>
          <w:szCs w:val="28"/>
        </w:rPr>
        <w:t xml:space="preserve">иоде и притоком средств в предыдущем периоде. Наличие данной зависимости было выявлено многими авторами. Так, например, Грубер и Женг </w:t>
      </w:r>
      <w:r>
        <w:rPr>
          <w:rFonts w:ascii="Times New Roman CYR" w:hAnsi="Times New Roman CYR" w:cs="Times New Roman CYR"/>
          <w:sz w:val="28"/>
          <w:szCs w:val="28"/>
        </w:rPr>
        <w:lastRenderedPageBreak/>
        <w:t>показывают, что фонды с положительным балансом продаж за последние 3 месяца показывают лучшие результаты, чем фонды, имеющ</w:t>
      </w:r>
      <w:r>
        <w:rPr>
          <w:rFonts w:ascii="Times New Roman CYR" w:hAnsi="Times New Roman CYR" w:cs="Times New Roman CYR"/>
          <w:sz w:val="28"/>
          <w:szCs w:val="28"/>
        </w:rPr>
        <w:t>ие отрицательный баланс продаж</w:t>
      </w:r>
      <w:r>
        <w:rPr>
          <w:rFonts w:ascii="Times New Roman CYR" w:hAnsi="Times New Roman CYR" w:cs="Times New Roman CYR"/>
          <w:noProof/>
          <w:sz w:val="28"/>
          <w:szCs w:val="28"/>
        </w:rPr>
        <w:t xml:space="preserve"> (Gruber, 1996) (Zheng, 1999)</w:t>
      </w:r>
      <w:r>
        <w:rPr>
          <w:rFonts w:ascii="Times New Roman CYR" w:hAnsi="Times New Roman CYR" w:cs="Times New Roman CYR"/>
          <w:sz w:val="28"/>
          <w:szCs w:val="28"/>
        </w:rPr>
        <w:t>. Женг так же отмечает, что эффект умных денег носит краткосрочный характер: после 30 месяцев зависимость разворачивается.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Наличие эффекта умных денег подтверждается не только на рынке США: Феррейр</w:t>
      </w:r>
      <w:r>
        <w:rPr>
          <w:rFonts w:ascii="Times New Roman CYR" w:hAnsi="Times New Roman CYR" w:cs="Times New Roman CYR"/>
          <w:sz w:val="28"/>
          <w:szCs w:val="28"/>
        </w:rPr>
        <w:t>а находит, что этот эффект присутствует и в других странах в его кросс-секционной выборке</w:t>
      </w:r>
      <w:r>
        <w:rPr>
          <w:rFonts w:ascii="Times New Roman CYR" w:hAnsi="Times New Roman CYR" w:cs="Times New Roman CYR"/>
          <w:noProof/>
          <w:sz w:val="28"/>
          <w:szCs w:val="28"/>
        </w:rPr>
        <w:t xml:space="preserve"> (Ferreira, et al., 2013)</w:t>
      </w:r>
      <w:r>
        <w:rPr>
          <w:rFonts w:ascii="Times New Roman CYR" w:hAnsi="Times New Roman CYR" w:cs="Times New Roman CYR"/>
          <w:sz w:val="28"/>
          <w:szCs w:val="28"/>
        </w:rPr>
        <w:t xml:space="preserve">, а Абрамов и Акшенцева показывают, что эффект проявляется и для российских ПИФов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Тем не менее, существует так же мнен</w:t>
      </w:r>
      <w:r>
        <w:rPr>
          <w:rFonts w:ascii="Times New Roman CYR" w:hAnsi="Times New Roman CYR" w:cs="Times New Roman CYR"/>
          <w:sz w:val="28"/>
          <w:szCs w:val="28"/>
        </w:rPr>
        <w:t xml:space="preserve">ие, что приток денег в предыдущие периоды не всегда имеет положительное влияние на избыточную доходность текущего периода. Так, Каушик показывает, что для фондов, инвестирующих в компании крупной капитализации, эффект отрицательный </w:t>
      </w:r>
      <w:r>
        <w:rPr>
          <w:rFonts w:ascii="Times New Roman CYR" w:hAnsi="Times New Roman CYR" w:cs="Times New Roman CYR"/>
          <w:noProof/>
          <w:sz w:val="28"/>
          <w:szCs w:val="28"/>
        </w:rPr>
        <w:t>(Kaushik, 2012)</w:t>
      </w:r>
      <w:r>
        <w:rPr>
          <w:rFonts w:ascii="Times New Roman CYR" w:hAnsi="Times New Roman CYR" w:cs="Times New Roman CYR"/>
          <w:sz w:val="28"/>
          <w:szCs w:val="28"/>
        </w:rPr>
        <w:t>. Автор п</w:t>
      </w:r>
      <w:r>
        <w:rPr>
          <w:rFonts w:ascii="Times New Roman CYR" w:hAnsi="Times New Roman CYR" w:cs="Times New Roman CYR"/>
          <w:sz w:val="28"/>
          <w:szCs w:val="28"/>
        </w:rPr>
        <w:t>редполагает, что это может быть связано с большим потенциалом роста компаний малых капитализаций по сравнению с компаниями крупной капитализацией. Отрицательная зависимость так же проявляется в случае фондов недвижимости, за счет проблем ликвидности: в слу</w:t>
      </w:r>
      <w:r>
        <w:rPr>
          <w:rFonts w:ascii="Times New Roman CYR" w:hAnsi="Times New Roman CYR" w:cs="Times New Roman CYR"/>
          <w:sz w:val="28"/>
          <w:szCs w:val="28"/>
        </w:rPr>
        <w:t xml:space="preserve">чае низко ликвидных фондов разместить быстро новые средства не получается, и они некоторое время лежат в наличных деньгах, что занижает общую доходность фонда </w:t>
      </w:r>
      <w:r>
        <w:rPr>
          <w:rFonts w:ascii="Times New Roman CYR" w:hAnsi="Times New Roman CYR" w:cs="Times New Roman CYR"/>
          <w:noProof/>
          <w:sz w:val="28"/>
          <w:szCs w:val="28"/>
        </w:rPr>
        <w:t>(Chou, et al., 2014)</w:t>
      </w:r>
      <w:r>
        <w:rPr>
          <w:rFonts w:ascii="Times New Roman CYR" w:hAnsi="Times New Roman CYR" w:cs="Times New Roman CYR"/>
          <w:sz w:val="28"/>
          <w:szCs w:val="28"/>
        </w:rPr>
        <w:t>. Раковкси отмечает, что в вопросе влияние притока средств на доходность фонд</w:t>
      </w:r>
      <w:r>
        <w:rPr>
          <w:rFonts w:ascii="Times New Roman CYR" w:hAnsi="Times New Roman CYR" w:cs="Times New Roman CYR"/>
          <w:sz w:val="28"/>
          <w:szCs w:val="28"/>
        </w:rPr>
        <w:t>а важен не сам приток, а его волатильность или неожиданность. Так, он показывает, что при увеличении волатильности притока инвестиций или при неожиданном большом притоке средств во взаимные фонды США их доходность уменьшается за счет неготовности или неспо</w:t>
      </w:r>
      <w:r>
        <w:rPr>
          <w:rFonts w:ascii="Times New Roman CYR" w:hAnsi="Times New Roman CYR" w:cs="Times New Roman CYR"/>
          <w:sz w:val="28"/>
          <w:szCs w:val="28"/>
        </w:rPr>
        <w:t>собности быстро освоить эти новые средства</w:t>
      </w:r>
      <w:r>
        <w:rPr>
          <w:rFonts w:ascii="Times New Roman CYR" w:hAnsi="Times New Roman CYR" w:cs="Times New Roman CYR"/>
          <w:noProof/>
          <w:sz w:val="28"/>
          <w:szCs w:val="28"/>
        </w:rPr>
        <w:t xml:space="preserve"> (Rakowski, 2010)</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Некоторые авторы считают, что проявление эффекта умных денег не имеет ничего общего со способностью инвесторов к выявлению наиболее </w:t>
      </w:r>
      <w:r>
        <w:rPr>
          <w:rFonts w:ascii="Times New Roman CYR" w:hAnsi="Times New Roman CYR" w:cs="Times New Roman CYR"/>
          <w:sz w:val="28"/>
          <w:szCs w:val="28"/>
        </w:rPr>
        <w:lastRenderedPageBreak/>
        <w:t>успешных управляющих, а объясняется за счет моментум-эффекта. И</w:t>
      </w:r>
      <w:r>
        <w:rPr>
          <w:rFonts w:ascii="Times New Roman CYR" w:hAnsi="Times New Roman CYR" w:cs="Times New Roman CYR"/>
          <w:sz w:val="28"/>
          <w:szCs w:val="28"/>
        </w:rPr>
        <w:t xml:space="preserve">ными словами, инвесторы осознанно или неосознанно инвестируют деньги в те фонды, которые показывали хорошие результаты в прошлом, а эти фонды, за счет наличия моментум-эффектов, оставались в выигрыше и некоторое время после притока инвестиций </w:t>
      </w:r>
      <w:r>
        <w:rPr>
          <w:rFonts w:ascii="Times New Roman CYR" w:hAnsi="Times New Roman CYR" w:cs="Times New Roman CYR"/>
          <w:noProof/>
          <w:sz w:val="28"/>
          <w:szCs w:val="28"/>
        </w:rPr>
        <w:t>(Sapp, et al.</w:t>
      </w:r>
      <w:r>
        <w:rPr>
          <w:rFonts w:ascii="Times New Roman CYR" w:hAnsi="Times New Roman CYR" w:cs="Times New Roman CYR"/>
          <w:noProof/>
          <w:sz w:val="28"/>
          <w:szCs w:val="28"/>
        </w:rPr>
        <w:t>, 2004)</w:t>
      </w:r>
      <w:r>
        <w:rPr>
          <w:rFonts w:ascii="Times New Roman CYR" w:hAnsi="Times New Roman CYR" w:cs="Times New Roman CYR"/>
          <w:sz w:val="28"/>
          <w:szCs w:val="28"/>
        </w:rPr>
        <w:t>. Однако, возможно, такое поведение инвесторов все же объясняет не весь эффект умных денег, а только его часть. Как показывает Женг, эффект умных денег тесно связан, что не эквивалентен эффекту "горячих денег", то есть вложению средств в недавних по</w:t>
      </w:r>
      <w:r>
        <w:rPr>
          <w:rFonts w:ascii="Times New Roman CYR" w:hAnsi="Times New Roman CYR" w:cs="Times New Roman CYR"/>
          <w:sz w:val="28"/>
          <w:szCs w:val="28"/>
        </w:rPr>
        <w:t>бедителей</w:t>
      </w:r>
      <w:r>
        <w:rPr>
          <w:rFonts w:ascii="Times New Roman CYR" w:hAnsi="Times New Roman CYR" w:cs="Times New Roman CYR"/>
          <w:noProof/>
          <w:sz w:val="28"/>
          <w:szCs w:val="28"/>
        </w:rPr>
        <w:t xml:space="preserve"> (Zheng, 1999)</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Моментум-эффект.</w:t>
      </w:r>
      <w:r>
        <w:rPr>
          <w:rFonts w:ascii="Times New Roman CYR" w:hAnsi="Times New Roman CYR" w:cs="Times New Roman CYR"/>
          <w:sz w:val="28"/>
          <w:szCs w:val="28"/>
        </w:rPr>
        <w:t xml:space="preserve"> Тема моментум-эффектов или устойчивости доходности фондов широко обсуждалась и исследовалась многими авторами. Основная идея заключается в том, что если фонд получал положительную доходность в текущем периоде, то о</w:t>
      </w:r>
      <w:r>
        <w:rPr>
          <w:rFonts w:ascii="Times New Roman CYR" w:hAnsi="Times New Roman CYR" w:cs="Times New Roman CYR"/>
          <w:sz w:val="28"/>
          <w:szCs w:val="28"/>
        </w:rPr>
        <w:t>н так же будет получать положительную доходность в следующие периоды на определенном отрезке времени. К подтверждению данного феномена приходили многие авторы. Хендрикс, Пател и Зекхаузер, Гоетсман и Ибботсон, и Браун и Гоетсман, Чоу и Хардин находили, что</w:t>
      </w:r>
      <w:r>
        <w:rPr>
          <w:rFonts w:ascii="Times New Roman CYR" w:hAnsi="Times New Roman CYR" w:cs="Times New Roman CYR"/>
          <w:sz w:val="28"/>
          <w:szCs w:val="28"/>
        </w:rPr>
        <w:t xml:space="preserve"> моментум-эффекты имеют краткосрочный характер и длятся от одного до трех лет </w:t>
      </w:r>
      <w:r>
        <w:rPr>
          <w:rFonts w:ascii="Times New Roman CYR" w:hAnsi="Times New Roman CYR" w:cs="Times New Roman CYR"/>
          <w:noProof/>
          <w:sz w:val="28"/>
          <w:szCs w:val="28"/>
        </w:rPr>
        <w:t>(Hendricks, et al., 1993)</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(Goetzmann, et al., 1994)</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(Brown, et al., 1995)</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(Chou, et al., 2014)</w:t>
      </w:r>
      <w:r>
        <w:rPr>
          <w:rFonts w:ascii="Times New Roman CYR" w:hAnsi="Times New Roman CYR" w:cs="Times New Roman CYR"/>
          <w:sz w:val="28"/>
          <w:szCs w:val="28"/>
        </w:rPr>
        <w:t>. Гринблатт и Титман, Элтон, Грубер, Дас и Хлавка, Элтон, Грубер, Дас и Блейк, Грубе</w:t>
      </w:r>
      <w:r>
        <w:rPr>
          <w:rFonts w:ascii="Times New Roman CYR" w:hAnsi="Times New Roman CYR" w:cs="Times New Roman CYR"/>
          <w:sz w:val="28"/>
          <w:szCs w:val="28"/>
        </w:rPr>
        <w:t xml:space="preserve">р находят, что взаимные фонды имеют устойчивых "победителей" и "проигравших" на более длительном промежутке времени, от пяти до десяти лет </w:t>
      </w:r>
      <w:r>
        <w:rPr>
          <w:rFonts w:ascii="Times New Roman CYR" w:hAnsi="Times New Roman CYR" w:cs="Times New Roman CYR"/>
          <w:noProof/>
          <w:sz w:val="28"/>
          <w:szCs w:val="28"/>
        </w:rPr>
        <w:t>(Grinblatt, et al., 1992)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(Elton, et al., 1993)</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(Elton, et al., 1996)</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(Gruber, 1996)</w:t>
      </w:r>
      <w:r>
        <w:rPr>
          <w:rFonts w:ascii="Times New Roman CYR" w:hAnsi="Times New Roman CYR" w:cs="Times New Roman CYR"/>
          <w:sz w:val="28"/>
          <w:szCs w:val="28"/>
        </w:rPr>
        <w:t>. Такая длительная устойчивость н</w:t>
      </w:r>
      <w:r>
        <w:rPr>
          <w:rFonts w:ascii="Times New Roman CYR" w:hAnsi="Times New Roman CYR" w:cs="Times New Roman CYR"/>
          <w:sz w:val="28"/>
          <w:szCs w:val="28"/>
        </w:rPr>
        <w:t>е может быть объяснена за счет обычных инвестиционных стратегий, в отличие от краткосрочной устойчивости, и может свидетельствовать о наличие таланта у менеджеров взаимных фондов и особенной способности к выбору ценных бумаг.</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Вермерс и Гринблат, Титман и В</w:t>
      </w:r>
      <w:r>
        <w:rPr>
          <w:rFonts w:ascii="Times New Roman CYR" w:hAnsi="Times New Roman CYR" w:cs="Times New Roman CYR"/>
          <w:sz w:val="28"/>
          <w:szCs w:val="28"/>
        </w:rPr>
        <w:t xml:space="preserve">ермерс показывают, что наличие моментум-эффектов в доходности фондов объясняется за счет использования </w:t>
      </w:r>
      <w:r>
        <w:rPr>
          <w:rFonts w:ascii="Times New Roman CYR" w:hAnsi="Times New Roman CYR" w:cs="Times New Roman CYR"/>
          <w:sz w:val="28"/>
          <w:szCs w:val="28"/>
        </w:rPr>
        <w:lastRenderedPageBreak/>
        <w:t>этими фондами моментум-стратегий при торговле акциями</w:t>
      </w:r>
      <w:r>
        <w:rPr>
          <w:rFonts w:ascii="Times New Roman CYR" w:hAnsi="Times New Roman CYR" w:cs="Times New Roman CYR"/>
          <w:noProof/>
          <w:sz w:val="28"/>
          <w:szCs w:val="28"/>
        </w:rPr>
        <w:t xml:space="preserve"> (Wermers, 1996)</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(Grinblatt, et al., 1995)</w:t>
      </w:r>
      <w:r>
        <w:rPr>
          <w:rFonts w:ascii="Times New Roman CYR" w:hAnsi="Times New Roman CYR" w:cs="Times New Roman CYR"/>
          <w:sz w:val="28"/>
          <w:szCs w:val="28"/>
        </w:rPr>
        <w:t xml:space="preserve">. Гринблат, Титман и Вермерс также утверждают, что фонды, </w:t>
      </w:r>
      <w:r>
        <w:rPr>
          <w:rFonts w:ascii="Times New Roman CYR" w:hAnsi="Times New Roman CYR" w:cs="Times New Roman CYR"/>
          <w:sz w:val="28"/>
          <w:szCs w:val="28"/>
        </w:rPr>
        <w:t>следующие моментум-стратегиям при торговле акциями, получают более высокую доходность (после вычета расходов и комиссий), чем остальные.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Кархарт приходит к другому результату: выигрыш от использования моментум-стратегий поглощается увеличивающимися</w:t>
      </w:r>
      <w:r>
        <w:rPr>
          <w:rFonts w:ascii="Times New Roman CYR" w:hAnsi="Times New Roman CYR" w:cs="Times New Roman CYR"/>
          <w:sz w:val="28"/>
          <w:szCs w:val="28"/>
        </w:rPr>
        <w:t xml:space="preserve"> брокерскими комиссиями, а наличие устойчивости в доходности фондов объясняется тем, что у этих фондов были большие позиции в акциях-победителях прошлого года </w:t>
      </w:r>
      <w:r>
        <w:rPr>
          <w:rFonts w:ascii="Times New Roman CYR" w:hAnsi="Times New Roman CYR" w:cs="Times New Roman CYR"/>
          <w:noProof/>
          <w:sz w:val="28"/>
          <w:szCs w:val="28"/>
        </w:rPr>
        <w:t>(Carhart, 1997)</w:t>
      </w:r>
      <w:r>
        <w:rPr>
          <w:rFonts w:ascii="Times New Roman CYR" w:hAnsi="Times New Roman CYR" w:cs="Times New Roman CYR"/>
          <w:sz w:val="28"/>
          <w:szCs w:val="28"/>
        </w:rPr>
        <w:t>. При этом, Кархарт подчеркивает, что это не сознательное поведение менеджеров, же</w:t>
      </w:r>
      <w:r>
        <w:rPr>
          <w:rFonts w:ascii="Times New Roman CYR" w:hAnsi="Times New Roman CYR" w:cs="Times New Roman CYR"/>
          <w:sz w:val="28"/>
          <w:szCs w:val="28"/>
        </w:rPr>
        <w:t>лающих использовать моментум-эффект, а в определенном смысле случайность.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кросс-секционном исследовании Феррейра подтверждает наличие краткосрочных моментум-эффектов у фондов в США, но при этом не находят такой зависимости в других странах</w:t>
      </w:r>
      <w:r>
        <w:rPr>
          <w:rFonts w:ascii="Times New Roman CYR" w:hAnsi="Times New Roman CYR" w:cs="Times New Roman CYR"/>
          <w:noProof/>
          <w:sz w:val="28"/>
          <w:szCs w:val="28"/>
        </w:rPr>
        <w:t xml:space="preserve"> (Ferreira, et </w:t>
      </w:r>
      <w:r>
        <w:rPr>
          <w:rFonts w:ascii="Times New Roman CYR" w:hAnsi="Times New Roman CYR" w:cs="Times New Roman CYR"/>
          <w:noProof/>
          <w:sz w:val="28"/>
          <w:szCs w:val="28"/>
        </w:rPr>
        <w:t>al., 2013)</w:t>
      </w:r>
      <w:r>
        <w:rPr>
          <w:rFonts w:ascii="Times New Roman CYR" w:hAnsi="Times New Roman CYR" w:cs="Times New Roman CYR"/>
          <w:sz w:val="28"/>
          <w:szCs w:val="28"/>
        </w:rPr>
        <w:t xml:space="preserve">. Абрамов и Акшенцева проверяли данную зависимость на российском рынке ПИФов и выявили, что избыточная доходность текущего года отрицательно зависит от избыточной доходности предыдущего года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Авторы предполагают, что динами</w:t>
      </w:r>
      <w:r>
        <w:rPr>
          <w:rFonts w:ascii="Times New Roman CYR" w:hAnsi="Times New Roman CYR" w:cs="Times New Roman CYR"/>
          <w:sz w:val="28"/>
          <w:szCs w:val="28"/>
        </w:rPr>
        <w:t>ка развития управляющих компаний может приводить к принятию более рискованных решений и, соответственно, к снижению доходности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Возраст фонда.</w:t>
      </w:r>
      <w:r>
        <w:rPr>
          <w:rFonts w:ascii="Times New Roman CYR" w:hAnsi="Times New Roman CYR" w:cs="Times New Roman CYR"/>
          <w:sz w:val="28"/>
          <w:szCs w:val="28"/>
        </w:rPr>
        <w:t xml:space="preserve"> Согласно Феррейра и соавторам, возраст фонда отрицательно влияет на его избыточную доходность во всех стран</w:t>
      </w:r>
      <w:r>
        <w:rPr>
          <w:rFonts w:ascii="Times New Roman CYR" w:hAnsi="Times New Roman CYR" w:cs="Times New Roman CYR"/>
          <w:sz w:val="28"/>
          <w:szCs w:val="28"/>
        </w:rPr>
        <w:t>ах, кроме США</w:t>
      </w:r>
      <w:r>
        <w:rPr>
          <w:rFonts w:ascii="Times New Roman CYR" w:hAnsi="Times New Roman CYR" w:cs="Times New Roman CYR"/>
          <w:noProof/>
          <w:sz w:val="28"/>
          <w:szCs w:val="28"/>
        </w:rPr>
        <w:t xml:space="preserve"> (Ferreira, et al., 2013)</w:t>
      </w:r>
      <w:r>
        <w:rPr>
          <w:rFonts w:ascii="Times New Roman CYR" w:hAnsi="Times New Roman CYR" w:cs="Times New Roman CYR"/>
          <w:sz w:val="28"/>
          <w:szCs w:val="28"/>
        </w:rPr>
        <w:t>. Этот феномен может объясняться тем, что молодые фонды могут быть более агрессивны в процессе инвестирования, так как им нужна хорошая доходность для привлечения инвесторов. Абрамов и Акшенцева проверили данную зависи</w:t>
      </w:r>
      <w:r>
        <w:rPr>
          <w:rFonts w:ascii="Times New Roman CYR" w:hAnsi="Times New Roman CYR" w:cs="Times New Roman CYR"/>
          <w:sz w:val="28"/>
          <w:szCs w:val="28"/>
        </w:rPr>
        <w:t xml:space="preserve">мость на российских паевых инвестиционных фондах и выявили отрицательное влияние возраста на доходность фондов акций, при этом для фондов облигаций, смешанных и денежного рынка наблюдалась </w:t>
      </w:r>
      <w:r>
        <w:rPr>
          <w:rFonts w:ascii="Times New Roman CYR" w:hAnsi="Times New Roman CYR" w:cs="Times New Roman CYR"/>
          <w:sz w:val="28"/>
          <w:szCs w:val="28"/>
        </w:rPr>
        <w:lastRenderedPageBreak/>
        <w:t xml:space="preserve">положительная взаимосвязь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Авторы считают, ч</w:t>
      </w:r>
      <w:r>
        <w:rPr>
          <w:rFonts w:ascii="Times New Roman CYR" w:hAnsi="Times New Roman CYR" w:cs="Times New Roman CYR"/>
          <w:sz w:val="28"/>
          <w:szCs w:val="28"/>
        </w:rPr>
        <w:t>то ввиду особенностей российского рынка, фонды акций могут сознательно приукрашивать свою доходность в маркетинговых целях, а фонды облигаций не склонны этим пользоваться, так как меньше ориентированы на спекулятивных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Комиссии управляющим.</w:t>
      </w:r>
      <w:r>
        <w:rPr>
          <w:rFonts w:ascii="Times New Roman CYR" w:hAnsi="Times New Roman CYR" w:cs="Times New Roman CYR"/>
          <w:sz w:val="28"/>
          <w:szCs w:val="28"/>
        </w:rPr>
        <w:t xml:space="preserve"> Неко</w:t>
      </w:r>
      <w:r>
        <w:rPr>
          <w:rFonts w:ascii="Times New Roman CYR" w:hAnsi="Times New Roman CYR" w:cs="Times New Roman CYR"/>
          <w:sz w:val="28"/>
          <w:szCs w:val="28"/>
        </w:rPr>
        <w:t xml:space="preserve">торые авторы указывают, что повышение комиссий за управление не связано с тем, что фонд способен генерировать большую доходность, то есть комиссии не являются вознаграждением за компетентность </w:t>
      </w:r>
      <w:r>
        <w:rPr>
          <w:rFonts w:ascii="Times New Roman CYR" w:hAnsi="Times New Roman CYR" w:cs="Times New Roman CYR"/>
          <w:noProof/>
          <w:sz w:val="28"/>
          <w:szCs w:val="28"/>
        </w:rPr>
        <w:t>(Haque, et al., 2015)</w:t>
      </w:r>
      <w:r>
        <w:rPr>
          <w:rFonts w:ascii="Times New Roman CYR" w:hAnsi="Times New Roman CYR" w:cs="Times New Roman CYR"/>
          <w:sz w:val="28"/>
          <w:szCs w:val="28"/>
        </w:rPr>
        <w:t>. Поэтому, фонды с более высокими комиссия</w:t>
      </w:r>
      <w:r>
        <w:rPr>
          <w:rFonts w:ascii="Times New Roman CYR" w:hAnsi="Times New Roman CYR" w:cs="Times New Roman CYR"/>
          <w:sz w:val="28"/>
          <w:szCs w:val="28"/>
        </w:rPr>
        <w:t xml:space="preserve">ми за управление показывают более низкую избыточную доходность по сравнению с фондами с более низкими комиссиями </w:t>
      </w:r>
      <w:r>
        <w:rPr>
          <w:rFonts w:ascii="Times New Roman CYR" w:hAnsi="Times New Roman CYR" w:cs="Times New Roman CYR"/>
          <w:noProof/>
          <w:sz w:val="28"/>
          <w:szCs w:val="28"/>
        </w:rPr>
        <w:t>(Ruiz-Verdu, et al., 2007)</w:t>
      </w:r>
      <w:r>
        <w:rPr>
          <w:rFonts w:ascii="Times New Roman CYR" w:hAnsi="Times New Roman CYR" w:cs="Times New Roman CYR"/>
          <w:sz w:val="28"/>
          <w:szCs w:val="28"/>
        </w:rPr>
        <w:t xml:space="preserve">. Кроме обычных комиссий за управление активами, авторы не обошли вниманием и специфические виды комиссий, такие как </w:t>
      </w:r>
      <w:r>
        <w:rPr>
          <w:rFonts w:ascii="Times New Roman CYR" w:hAnsi="Times New Roman CYR" w:cs="Times New Roman CYR"/>
          <w:sz w:val="28"/>
          <w:szCs w:val="28"/>
        </w:rPr>
        <w:t>комиссии при инвестировании и при изъятии средств.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рассмотрении влияния комиссий при изъятии средств есть две основные гипотезы - гипотеза агентских издержек и гипотеза ликвидности. Согласно гипотезе агентских издержек, более высокие комиссии при погаш</w:t>
      </w:r>
      <w:r>
        <w:rPr>
          <w:rFonts w:ascii="Times New Roman CYR" w:hAnsi="Times New Roman CYR" w:cs="Times New Roman CYR"/>
          <w:sz w:val="28"/>
          <w:szCs w:val="28"/>
        </w:rPr>
        <w:t xml:space="preserve">ении инвестиции будут иметь фонды, показывающие более низкую избыточную доходность, для того, чтобы удержать инвесторов. Грин, Ходжес и Раковски на выборке из 4569 американских взаимных фондов не подтвердили эту гипотезу, зато нашли подтверждение гипотезе </w:t>
      </w:r>
      <w:r>
        <w:rPr>
          <w:rFonts w:ascii="Times New Roman CYR" w:hAnsi="Times New Roman CYR" w:cs="Times New Roman CYR"/>
          <w:sz w:val="28"/>
          <w:szCs w:val="28"/>
        </w:rPr>
        <w:t>ликвидности, которая гласит, что менеджеры используют комиссии при погашении для управления ликвидностью и снижения издержек ликвидности, которые могут занижать доходность для инвесторов</w:t>
      </w:r>
      <w:r>
        <w:rPr>
          <w:rFonts w:ascii="Times New Roman CYR" w:hAnsi="Times New Roman CYR" w:cs="Times New Roman CYR"/>
          <w:noProof/>
          <w:sz w:val="28"/>
          <w:szCs w:val="28"/>
        </w:rPr>
        <w:t xml:space="preserve"> (Greene, et al., 2007)</w:t>
      </w:r>
      <w:r>
        <w:rPr>
          <w:rFonts w:ascii="Times New Roman CYR" w:hAnsi="Times New Roman CYR" w:cs="Times New Roman CYR"/>
          <w:sz w:val="28"/>
          <w:szCs w:val="28"/>
        </w:rPr>
        <w:t>. Кархарт показывает, что размер так называемых</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load</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fees</w:t>
      </w:r>
      <w:r>
        <w:rPr>
          <w:rFonts w:ascii="Times New Roman CYR" w:hAnsi="Times New Roman CYR" w:cs="Times New Roman CYR"/>
          <w:sz w:val="28"/>
          <w:szCs w:val="28"/>
        </w:rPr>
        <w:t>, которые могут принимать как форму единоразовых выплат при инвестировании или при изъятии средств, так и ежегодных маркетинговых комиссий 12</w:t>
      </w:r>
      <w:r>
        <w:rPr>
          <w:rFonts w:ascii="Times New Roman CYR" w:hAnsi="Times New Roman CYR" w:cs="Times New Roman CYR"/>
          <w:sz w:val="28"/>
          <w:szCs w:val="28"/>
          <w:lang w:val="en-US"/>
        </w:rPr>
        <w:t>b</w:t>
      </w:r>
      <w:r>
        <w:rPr>
          <w:rFonts w:ascii="Times New Roman CYR" w:hAnsi="Times New Roman CYR" w:cs="Times New Roman CYR"/>
          <w:sz w:val="28"/>
          <w:szCs w:val="28"/>
        </w:rPr>
        <w:t xml:space="preserve">-1, отрицательно влияет на избыточную доходность фондов, возможно из-за увеличения общих расходов </w:t>
      </w:r>
      <w:r>
        <w:rPr>
          <w:rFonts w:ascii="Times New Roman CYR" w:hAnsi="Times New Roman CYR" w:cs="Times New Roman CYR"/>
          <w:sz w:val="28"/>
          <w:szCs w:val="28"/>
        </w:rPr>
        <w:lastRenderedPageBreak/>
        <w:t>при со</w:t>
      </w:r>
      <w:r>
        <w:rPr>
          <w:rFonts w:ascii="Times New Roman CYR" w:hAnsi="Times New Roman CYR" w:cs="Times New Roman CYR"/>
          <w:sz w:val="28"/>
          <w:szCs w:val="28"/>
        </w:rPr>
        <w:t xml:space="preserve">вершении сделки </w:t>
      </w:r>
      <w:r>
        <w:rPr>
          <w:rFonts w:ascii="Times New Roman CYR" w:hAnsi="Times New Roman CYR" w:cs="Times New Roman CYR"/>
          <w:noProof/>
          <w:sz w:val="28"/>
          <w:szCs w:val="28"/>
        </w:rPr>
        <w:t>(Carhart, 1997)</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Принадлежность к крупной управляющей компании.</w:t>
      </w:r>
      <w:r>
        <w:rPr>
          <w:rFonts w:ascii="Times New Roman CYR" w:hAnsi="Times New Roman CYR" w:cs="Times New Roman CYR"/>
          <w:sz w:val="28"/>
          <w:szCs w:val="28"/>
        </w:rPr>
        <w:t xml:space="preserve"> Как показывают Чен, Хонг, Хуанг и Кубик, а также Феррейра, Кесвани, Мигуель и Рамес, фонды, принадлежащие к более крупной семье управляющих компаний, в среднем приносят инвесто</w:t>
      </w:r>
      <w:r>
        <w:rPr>
          <w:rFonts w:ascii="Times New Roman CYR" w:hAnsi="Times New Roman CYR" w:cs="Times New Roman CYR"/>
          <w:sz w:val="28"/>
          <w:szCs w:val="28"/>
        </w:rPr>
        <w:t xml:space="preserve">ром более высокую избыточную доходность, за счет экономии на комиссиях </w:t>
      </w:r>
      <w:r>
        <w:rPr>
          <w:rFonts w:ascii="Times New Roman CYR" w:hAnsi="Times New Roman CYR" w:cs="Times New Roman CYR"/>
          <w:noProof/>
          <w:sz w:val="28"/>
          <w:szCs w:val="28"/>
        </w:rPr>
        <w:t>(Chen, et al., 2004) (Ferreira, et al., 2013)</w:t>
      </w:r>
      <w:r>
        <w:rPr>
          <w:rFonts w:ascii="Times New Roman CYR" w:hAnsi="Times New Roman CYR" w:cs="Times New Roman CYR"/>
          <w:sz w:val="28"/>
          <w:szCs w:val="28"/>
        </w:rPr>
        <w:t xml:space="preserve">. На российском рынке данная закономерность не была подтверждена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Продажа через брокеров. Бергстрессер, Чалмерс и Туф</w:t>
      </w:r>
      <w:r>
        <w:rPr>
          <w:rFonts w:ascii="Times New Roman CYR" w:hAnsi="Times New Roman CYR" w:cs="Times New Roman CYR"/>
          <w:sz w:val="28"/>
          <w:szCs w:val="28"/>
        </w:rPr>
        <w:t>ано показали, что фонды, которые продавались через брокеров, а не напрямую через управляющие компании, показывали более слабые результаты. С учетом того, что за использование услуг брокера инвестор платит дополнительную комиссию, выгоды от инвестирования ч</w:t>
      </w:r>
      <w:r>
        <w:rPr>
          <w:rFonts w:ascii="Times New Roman CYR" w:hAnsi="Times New Roman CYR" w:cs="Times New Roman CYR"/>
          <w:sz w:val="28"/>
          <w:szCs w:val="28"/>
        </w:rPr>
        <w:t xml:space="preserve">ерез брокера должны быть, по-видимому, нематериальными, например, помощь в построении индивидуального портфеля для инвестора или повышение уверенности инвестора в его инвестиционном портфеле </w:t>
      </w:r>
      <w:r>
        <w:rPr>
          <w:rFonts w:ascii="Times New Roman CYR" w:hAnsi="Times New Roman CYR" w:cs="Times New Roman CYR"/>
          <w:noProof/>
          <w:sz w:val="28"/>
          <w:szCs w:val="28"/>
        </w:rPr>
        <w:t>(Bergstresser, et al., 2009)</w:t>
      </w:r>
      <w:r>
        <w:rPr>
          <w:rFonts w:ascii="Times New Roman CYR" w:hAnsi="Times New Roman CYR" w:cs="Times New Roman CYR"/>
          <w:sz w:val="28"/>
          <w:szCs w:val="28"/>
        </w:rPr>
        <w:t>. На российском рынке наблюдается пол</w:t>
      </w:r>
      <w:r>
        <w:rPr>
          <w:rFonts w:ascii="Times New Roman CYR" w:hAnsi="Times New Roman CYR" w:cs="Times New Roman CYR"/>
          <w:sz w:val="28"/>
          <w:szCs w:val="28"/>
        </w:rPr>
        <w:t xml:space="preserve">ожительная зависимость между продажей фонда через агентов и его доходностью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xml:space="preserve">. Это может говорить о том, что наиболее доходные фонды продаются через брокеров, и, возможно, стоит заплатить им дополнительную комиссию, но получить доступ </w:t>
      </w:r>
      <w:r>
        <w:rPr>
          <w:rFonts w:ascii="Times New Roman CYR" w:hAnsi="Times New Roman CYR" w:cs="Times New Roman CYR"/>
          <w:sz w:val="28"/>
          <w:szCs w:val="28"/>
        </w:rPr>
        <w:t>к более хорошему ПИФу.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Стиль управления.</w:t>
      </w:r>
      <w:r>
        <w:rPr>
          <w:rFonts w:ascii="Times New Roman CYR" w:hAnsi="Times New Roman CYR" w:cs="Times New Roman CYR"/>
          <w:sz w:val="28"/>
          <w:szCs w:val="28"/>
        </w:rPr>
        <w:t xml:space="preserve"> В зависимость от того, склонен менеджер фонда к активному или пассивному управлению, доходность фонда меняется. Вообще, жаркий спор о важности активного управления разгорелся в экономических кругах в середине 80х го</w:t>
      </w:r>
      <w:r>
        <w:rPr>
          <w:rFonts w:ascii="Times New Roman CYR" w:hAnsi="Times New Roman CYR" w:cs="Times New Roman CYR"/>
          <w:sz w:val="28"/>
          <w:szCs w:val="28"/>
        </w:rPr>
        <w:t xml:space="preserve">дов, после публикации работы Бринсона, Худа и Бибовера в 1986 году </w:t>
      </w:r>
      <w:r>
        <w:rPr>
          <w:rFonts w:ascii="Times New Roman CYR" w:hAnsi="Times New Roman CYR" w:cs="Times New Roman CYR"/>
          <w:noProof/>
          <w:sz w:val="28"/>
          <w:szCs w:val="28"/>
        </w:rPr>
        <w:t>(Brinson, et al., 1986)</w:t>
      </w:r>
      <w:r>
        <w:rPr>
          <w:rFonts w:ascii="Times New Roman CYR" w:hAnsi="Times New Roman CYR" w:cs="Times New Roman CYR"/>
          <w:sz w:val="28"/>
          <w:szCs w:val="28"/>
        </w:rPr>
        <w:t xml:space="preserve">. Авторы задались вопросом: так что же больше влияет на результат фонда, стратегическое распределение активов или стратегии активного управления? Согласно их работе, </w:t>
      </w:r>
      <w:r>
        <w:rPr>
          <w:rFonts w:ascii="Times New Roman CYR" w:hAnsi="Times New Roman CYR" w:cs="Times New Roman CYR"/>
          <w:sz w:val="28"/>
          <w:szCs w:val="28"/>
        </w:rPr>
        <w:t xml:space="preserve">итоговая дисперсия в результатах фонда на 93,6% объясняется стратегическим распределением </w:t>
      </w:r>
      <w:r>
        <w:rPr>
          <w:rFonts w:ascii="Times New Roman CYR" w:hAnsi="Times New Roman CYR" w:cs="Times New Roman CYR"/>
          <w:sz w:val="28"/>
          <w:szCs w:val="28"/>
        </w:rPr>
        <w:lastRenderedPageBreak/>
        <w:t>активов (то есть пассивной стратегией), и лишь на 6,4% - всем остальным. Подобное утверждение имело широкий резонанс в научных и практических кругах, так как фактичес</w:t>
      </w:r>
      <w:r>
        <w:rPr>
          <w:rFonts w:ascii="Times New Roman CYR" w:hAnsi="Times New Roman CYR" w:cs="Times New Roman CYR"/>
          <w:sz w:val="28"/>
          <w:szCs w:val="28"/>
        </w:rPr>
        <w:t>ки утверждало бесполезность активного управления активами. Это породило множество как подтверждающих, так и опровергающих результаты Бринсона исследований.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Многие исследователи пытались количественно оценить влияние активного управления на результат фонда </w:t>
      </w:r>
      <w:r>
        <w:rPr>
          <w:rFonts w:ascii="Times New Roman CYR" w:hAnsi="Times New Roman CYR" w:cs="Times New Roman CYR"/>
          <w:sz w:val="28"/>
          <w:szCs w:val="28"/>
        </w:rPr>
        <w:t>и большинство их них пришли к выводу, что активное управление инвестиционным портфелем разрушает стоимость. Так, например, Базу и Эндрюс исследовали выборку австралийских пенсионных фондов по данным 2004-2012 годов с точки зрения баланса их доходов и расхо</w:t>
      </w:r>
      <w:r>
        <w:rPr>
          <w:rFonts w:ascii="Times New Roman CYR" w:hAnsi="Times New Roman CYR" w:cs="Times New Roman CYR"/>
          <w:sz w:val="28"/>
          <w:szCs w:val="28"/>
        </w:rPr>
        <w:t>дов и структуры распределения активов. В результате исследования они показали, что в то время как результаты фонда не дотягивают до пассивных результатов даже на гросс уровне, более высокие расходы фонда, возникающие из-за активного управления, занижают не</w:t>
      </w:r>
      <w:r>
        <w:rPr>
          <w:rFonts w:ascii="Times New Roman CYR" w:hAnsi="Times New Roman CYR" w:cs="Times New Roman CYR"/>
          <w:sz w:val="28"/>
          <w:szCs w:val="28"/>
        </w:rPr>
        <w:t>тто результат еще больше</w:t>
      </w:r>
      <w:r>
        <w:rPr>
          <w:rFonts w:ascii="Times New Roman CYR" w:hAnsi="Times New Roman CYR" w:cs="Times New Roman CYR"/>
          <w:noProof/>
          <w:sz w:val="28"/>
          <w:szCs w:val="28"/>
        </w:rPr>
        <w:t xml:space="preserve"> (Basu, et al., 2014)</w:t>
      </w:r>
      <w:r>
        <w:rPr>
          <w:rFonts w:ascii="Times New Roman CYR" w:hAnsi="Times New Roman CYR" w:cs="Times New Roman CYR"/>
          <w:sz w:val="28"/>
          <w:szCs w:val="28"/>
        </w:rPr>
        <w:t>. Дрю и Станфорд также подтверждают этот результат, показывая на обзоре исследований по США и Австралии, как активное управление разрушает стоимость и ведет к ухудшению результата фондов относительно бенчмарка</w:t>
      </w:r>
      <w:r>
        <w:rPr>
          <w:rFonts w:ascii="Times New Roman CYR" w:hAnsi="Times New Roman CYR" w:cs="Times New Roman CYR"/>
          <w:noProof/>
          <w:sz w:val="28"/>
          <w:szCs w:val="28"/>
        </w:rPr>
        <w:t xml:space="preserve"> (</w:t>
      </w:r>
      <w:r>
        <w:rPr>
          <w:rFonts w:ascii="Times New Roman CYR" w:hAnsi="Times New Roman CYR" w:cs="Times New Roman CYR"/>
          <w:noProof/>
          <w:sz w:val="28"/>
          <w:szCs w:val="28"/>
        </w:rPr>
        <w:t>Drew, et al., 2003)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Кархарт показывает, что высокая оборачиваемость портфеля отрицательно влияет на его доходность. Так, каждая операция по покупке-продаже актива в среднем снижает доходность портфеля на 95 базисных пунктов </w:t>
      </w:r>
      <w:r>
        <w:rPr>
          <w:rFonts w:ascii="Times New Roman CYR" w:hAnsi="Times New Roman CYR" w:cs="Times New Roman CYR"/>
          <w:noProof/>
          <w:sz w:val="28"/>
          <w:szCs w:val="28"/>
        </w:rPr>
        <w:t>(Carhart, 1997)</w:t>
      </w:r>
      <w:r>
        <w:rPr>
          <w:rFonts w:ascii="Times New Roman CYR" w:hAnsi="Times New Roman CYR" w:cs="Times New Roman CYR"/>
          <w:sz w:val="28"/>
          <w:szCs w:val="28"/>
        </w:rPr>
        <w:t>. Смешанные резу</w:t>
      </w:r>
      <w:r>
        <w:rPr>
          <w:rFonts w:ascii="Times New Roman CYR" w:hAnsi="Times New Roman CYR" w:cs="Times New Roman CYR"/>
          <w:sz w:val="28"/>
          <w:szCs w:val="28"/>
        </w:rPr>
        <w:t>льтаты по этому вопросу получил Каушик в исследовании 2012 года на выборке американских взаимных фондов. Он показал, что активное управление занижает доходность только для подвыборки фондов акций большой капитализации, в то время как для фондов акций малой</w:t>
      </w:r>
      <w:r>
        <w:rPr>
          <w:rFonts w:ascii="Times New Roman CYR" w:hAnsi="Times New Roman CYR" w:cs="Times New Roman CYR"/>
          <w:sz w:val="28"/>
          <w:szCs w:val="28"/>
        </w:rPr>
        <w:t xml:space="preserve"> капитализации все происходит наоборот</w:t>
      </w:r>
      <w:r>
        <w:rPr>
          <w:rFonts w:ascii="Times New Roman CYR" w:hAnsi="Times New Roman CYR" w:cs="Times New Roman CYR"/>
          <w:noProof/>
          <w:sz w:val="28"/>
          <w:szCs w:val="28"/>
        </w:rPr>
        <w:t xml:space="preserve"> (Kaushik, 2012)</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примере российских ПИФов гипотеза о том, что активное управление разрушает стоимость, не подтвердилась. Напротив, для фондов акций была </w:t>
      </w:r>
      <w:r>
        <w:rPr>
          <w:rFonts w:ascii="Times New Roman CYR" w:hAnsi="Times New Roman CYR" w:cs="Times New Roman CYR"/>
          <w:sz w:val="28"/>
          <w:szCs w:val="28"/>
        </w:rPr>
        <w:lastRenderedPageBreak/>
        <w:t>отмечена положительная зависимость между оборачиваемостью фон</w:t>
      </w:r>
      <w:r>
        <w:rPr>
          <w:rFonts w:ascii="Times New Roman CYR" w:hAnsi="Times New Roman CYR" w:cs="Times New Roman CYR"/>
          <w:sz w:val="28"/>
          <w:szCs w:val="28"/>
        </w:rPr>
        <w:t>да и его доходностью, что показывает положительное влияние активного управления на доходность фондов</w:t>
      </w:r>
      <w:r>
        <w:rPr>
          <w:rFonts w:ascii="Times New Roman CYR" w:hAnsi="Times New Roman CYR" w:cs="Times New Roman CYR"/>
          <w:noProof/>
          <w:sz w:val="28"/>
          <w:szCs w:val="28"/>
        </w:rPr>
        <w:t xml:space="preserve"> (Абрамов,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Иерархия.</w:t>
      </w:r>
      <w:r>
        <w:rPr>
          <w:rFonts w:ascii="Times New Roman CYR" w:hAnsi="Times New Roman CYR" w:cs="Times New Roman CYR"/>
          <w:sz w:val="28"/>
          <w:szCs w:val="28"/>
        </w:rPr>
        <w:t xml:space="preserve"> По мнению некоторых исследователей, крупные фонды со сложной иерархической структурой страдают от неэффективности коммуни</w:t>
      </w:r>
      <w:r>
        <w:rPr>
          <w:rFonts w:ascii="Times New Roman CYR" w:hAnsi="Times New Roman CYR" w:cs="Times New Roman CYR"/>
          <w:sz w:val="28"/>
          <w:szCs w:val="28"/>
        </w:rPr>
        <w:t>каций, при которой менеджерам фонда приходится сначала убеждать других в своей правоте, и только потом делать инвестицию. За это время цены могут сдвинуться и фонд совершит мене выгодную сделку. Чен и соавторы находят подтверждение этой гипотезе на выборке</w:t>
      </w:r>
      <w:r>
        <w:rPr>
          <w:rFonts w:ascii="Times New Roman CYR" w:hAnsi="Times New Roman CYR" w:cs="Times New Roman CYR"/>
          <w:sz w:val="28"/>
          <w:szCs w:val="28"/>
        </w:rPr>
        <w:t xml:space="preserve"> американских взаимных фондов, а Феррейра подтверждает его выводы на выборке из 27 разных стран</w:t>
      </w:r>
      <w:r>
        <w:rPr>
          <w:rFonts w:ascii="Times New Roman CYR" w:hAnsi="Times New Roman CYR" w:cs="Times New Roman CYR"/>
          <w:noProof/>
          <w:sz w:val="28"/>
          <w:szCs w:val="28"/>
        </w:rPr>
        <w:t xml:space="preserve"> (Chen, et al., 2004) (Ferreira, et al.,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Макро-факторы.</w:t>
      </w:r>
      <w:r>
        <w:rPr>
          <w:rFonts w:ascii="Times New Roman CYR" w:hAnsi="Times New Roman CYR" w:cs="Times New Roman CYR"/>
          <w:sz w:val="28"/>
          <w:szCs w:val="28"/>
        </w:rPr>
        <w:t xml:space="preserve"> Феррейра находит, что доходность фонда положительно зависит от уровня финансового развития страны,</w:t>
      </w:r>
      <w:r>
        <w:rPr>
          <w:rFonts w:ascii="Times New Roman CYR" w:hAnsi="Times New Roman CYR" w:cs="Times New Roman CYR"/>
          <w:sz w:val="28"/>
          <w:szCs w:val="28"/>
        </w:rPr>
        <w:t xml:space="preserve"> а именно высокой торговой активности, низких торговых издержек и высокого уровня защиты прав инвестора</w:t>
      </w:r>
      <w:r>
        <w:rPr>
          <w:rFonts w:ascii="Times New Roman CYR" w:hAnsi="Times New Roman CYR" w:cs="Times New Roman CYR"/>
          <w:noProof/>
          <w:sz w:val="28"/>
          <w:szCs w:val="28"/>
        </w:rPr>
        <w:t xml:space="preserve"> (Ferreira, et al.,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1.7 Факторы, влияющие на приток средств во взаимные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Выявление факторов, влияющих на привлекательность фонда для инвест</w:t>
      </w:r>
      <w:r>
        <w:rPr>
          <w:rFonts w:ascii="Times New Roman CYR" w:hAnsi="Times New Roman CYR" w:cs="Times New Roman CYR"/>
          <w:sz w:val="28"/>
          <w:szCs w:val="28"/>
        </w:rPr>
        <w:t>оров - очень важный процесс для понимания инвесторов как группы людей и их поведения. Насколько они рациональны или, наоборот, нерациональны, насколько они могут принимать осознанные решения, а насколько наивны в своих ожиданиях, - ответы на эти вопросы мо</w:t>
      </w:r>
      <w:r>
        <w:rPr>
          <w:rFonts w:ascii="Times New Roman CYR" w:hAnsi="Times New Roman CYR" w:cs="Times New Roman CYR"/>
          <w:sz w:val="28"/>
          <w:szCs w:val="28"/>
        </w:rPr>
        <w:t>жно получить путем изучения притоков инвестиций во взаимные фонды. А это понимание, в свою очередь, может помочь менеджерам фондов правильно выстроить структуру своих фондов и привлечь дополнительные средства в отрасль.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Доходность предыдущих периодов.</w:t>
      </w:r>
      <w:r>
        <w:rPr>
          <w:rFonts w:ascii="Times New Roman CYR" w:hAnsi="Times New Roman CYR" w:cs="Times New Roman CYR"/>
          <w:sz w:val="28"/>
          <w:szCs w:val="28"/>
        </w:rPr>
        <w:t xml:space="preserve"> Во в</w:t>
      </w:r>
      <w:r>
        <w:rPr>
          <w:rFonts w:ascii="Times New Roman CYR" w:hAnsi="Times New Roman CYR" w:cs="Times New Roman CYR"/>
          <w:sz w:val="28"/>
          <w:szCs w:val="28"/>
        </w:rPr>
        <w:t xml:space="preserve">сех исследованиях притока денежных средств в фонды этот показатель неизменно признается как один из </w:t>
      </w:r>
      <w:r>
        <w:rPr>
          <w:rFonts w:ascii="Times New Roman CYR" w:hAnsi="Times New Roman CYR" w:cs="Times New Roman CYR"/>
          <w:sz w:val="28"/>
          <w:szCs w:val="28"/>
        </w:rPr>
        <w:lastRenderedPageBreak/>
        <w:t>самых важных. Его влияние на приток средств в фонды может быть объяснено тем, что доходность фонда - наиболее доступная, если не единственная, возможность д</w:t>
      </w:r>
      <w:r>
        <w:rPr>
          <w:rFonts w:ascii="Times New Roman CYR" w:hAnsi="Times New Roman CYR" w:cs="Times New Roman CYR"/>
          <w:sz w:val="28"/>
          <w:szCs w:val="28"/>
        </w:rPr>
        <w:t xml:space="preserve">ля розничных инвесторов оценить способности менеджера фонда. Поэтому, когда фонд показывает хорошую доходность на протяжении нескольких предшествующих периодов, уровень доверия инвесторов к конкретному менеджеру повышается, и наблюдается приток инвестиций </w:t>
      </w:r>
      <w:r>
        <w:rPr>
          <w:rFonts w:ascii="Times New Roman CYR" w:hAnsi="Times New Roman CYR" w:cs="Times New Roman CYR"/>
          <w:sz w:val="28"/>
          <w:szCs w:val="28"/>
        </w:rPr>
        <w:t>в фонд. Однако многие авторы называют такой подход к инвестированию наивным, поскольку считают, что доходность фондов в большей степени зависит от удачи, чем от профессионализма управляющих.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этом инвесторы часто ведут себя не совсем рационально: в функ</w:t>
      </w:r>
      <w:r>
        <w:rPr>
          <w:rFonts w:ascii="Times New Roman CYR" w:hAnsi="Times New Roman CYR" w:cs="Times New Roman CYR"/>
          <w:sz w:val="28"/>
          <w:szCs w:val="28"/>
        </w:rPr>
        <w:t>ции притока инвестиций наблюдается выпуклость в зоне убытков фонда, что показывает, инвесторы по-разному реагируют на положительную и отрицательную доходность фонда. В случае положительной доходности инвесторы реагируют более бурно и инвестируют в фонд бол</w:t>
      </w:r>
      <w:r>
        <w:rPr>
          <w:rFonts w:ascii="Times New Roman CYR" w:hAnsi="Times New Roman CYR" w:cs="Times New Roman CYR"/>
          <w:sz w:val="28"/>
          <w:szCs w:val="28"/>
        </w:rPr>
        <w:t xml:space="preserve">ьше, а в случае отрицательной доходности наоборот, реагируют вяло и медленно выводят деньги из фонда </w:t>
      </w:r>
      <w:r>
        <w:rPr>
          <w:rFonts w:ascii="Times New Roman CYR" w:hAnsi="Times New Roman CYR" w:cs="Times New Roman CYR"/>
          <w:noProof/>
          <w:sz w:val="28"/>
          <w:szCs w:val="28"/>
        </w:rPr>
        <w:t>(Ippolito, 1992)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(Chevalier, et al., 1997)</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(Goetzmann, et al., 1997)</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(Sirri, et al., 1998)</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(Lynch, et al., 2003) (Berk, et al., 2004) (Sapp, et al., 2004)</w:t>
      </w:r>
      <w:r>
        <w:rPr>
          <w:rFonts w:ascii="Times New Roman CYR" w:hAnsi="Times New Roman CYR" w:cs="Times New Roman CYR"/>
          <w:sz w:val="28"/>
          <w:szCs w:val="28"/>
        </w:rPr>
        <w:t>.</w:t>
      </w:r>
      <w:r>
        <w:rPr>
          <w:rFonts w:ascii="Times New Roman CYR" w:hAnsi="Times New Roman CYR" w:cs="Times New Roman CYR"/>
          <w:sz w:val="28"/>
          <w:szCs w:val="28"/>
        </w:rPr>
        <w:t xml:space="preserve"> Ипполито, Шевалье и Эллисон, Линч и Мусто, а также Чоу и Хардин считают, что большая терпимость к убыткам фонда исходит из ожидания инвесторами смены портфельного управляющего и инвестиционной стратегии фонда после провальных результатов </w:t>
      </w:r>
      <w:r>
        <w:rPr>
          <w:rFonts w:ascii="Times New Roman CYR" w:hAnsi="Times New Roman CYR" w:cs="Times New Roman CYR"/>
          <w:noProof/>
          <w:sz w:val="28"/>
          <w:szCs w:val="28"/>
        </w:rPr>
        <w:t xml:space="preserve">(Ippolito, 1992) </w:t>
      </w:r>
      <w:r>
        <w:rPr>
          <w:rFonts w:ascii="Times New Roman CYR" w:hAnsi="Times New Roman CYR" w:cs="Times New Roman CYR"/>
          <w:noProof/>
          <w:sz w:val="28"/>
          <w:szCs w:val="28"/>
        </w:rPr>
        <w:t>(Sirri, et al., 1998) (Lynch, et al., 2003) (Chou, et al., 2014)</w:t>
      </w:r>
      <w:r>
        <w:rPr>
          <w:rFonts w:ascii="Times New Roman CYR" w:hAnsi="Times New Roman CYR" w:cs="Times New Roman CYR"/>
          <w:sz w:val="28"/>
          <w:szCs w:val="28"/>
        </w:rPr>
        <w:t>. Гоетсман и Пелес объясняют этот феномен тем, что инвесторы слабых фондов впадают в состояние когнитивного диссонанса и сами вводят себя в заблуждение, приукрашивая доходность фонда</w:t>
      </w:r>
      <w:r>
        <w:rPr>
          <w:rFonts w:ascii="Times New Roman CYR" w:hAnsi="Times New Roman CYR" w:cs="Times New Roman CYR"/>
          <w:noProof/>
          <w:sz w:val="28"/>
          <w:szCs w:val="28"/>
        </w:rPr>
        <w:t xml:space="preserve"> (Goetzman</w:t>
      </w:r>
      <w:r>
        <w:rPr>
          <w:rFonts w:ascii="Times New Roman CYR" w:hAnsi="Times New Roman CYR" w:cs="Times New Roman CYR"/>
          <w:noProof/>
          <w:sz w:val="28"/>
          <w:szCs w:val="28"/>
        </w:rPr>
        <w:t>n, et al., 1997)</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поведение инвесторов не всегда однозначно. Дженк и Ведоу отмечают, что хорошая доходность фонда не обязательно приводит к притоку средств, потому что кривая оттока средств имеет форму "</w:t>
      </w:r>
      <w:r>
        <w:rPr>
          <w:rFonts w:ascii="Times New Roman CYR" w:hAnsi="Times New Roman CYR" w:cs="Times New Roman CYR"/>
          <w:sz w:val="28"/>
          <w:szCs w:val="28"/>
          <w:lang w:val="en-US"/>
        </w:rPr>
        <w:t>U</w:t>
      </w:r>
      <w:r>
        <w:rPr>
          <w:rFonts w:ascii="Times New Roman CYR" w:hAnsi="Times New Roman CYR" w:cs="Times New Roman CYR"/>
          <w:sz w:val="28"/>
          <w:szCs w:val="28"/>
        </w:rPr>
        <w:t xml:space="preserve">": инвесторы </w:t>
      </w:r>
      <w:r>
        <w:rPr>
          <w:rFonts w:ascii="Times New Roman CYR" w:hAnsi="Times New Roman CYR" w:cs="Times New Roman CYR"/>
          <w:sz w:val="28"/>
          <w:szCs w:val="28"/>
        </w:rPr>
        <w:lastRenderedPageBreak/>
        <w:t>"наказывают" фонды за плохую дох</w:t>
      </w:r>
      <w:r>
        <w:rPr>
          <w:rFonts w:ascii="Times New Roman CYR" w:hAnsi="Times New Roman CYR" w:cs="Times New Roman CYR"/>
          <w:sz w:val="28"/>
          <w:szCs w:val="28"/>
        </w:rPr>
        <w:t>одность, выводя средства, но в то же время, при очень хорошей доходности фонда инвесторы спешат вывести деньги, зафиксировав таким образом прибыль</w:t>
      </w:r>
      <w:r>
        <w:rPr>
          <w:rFonts w:ascii="Times New Roman CYR" w:hAnsi="Times New Roman CYR" w:cs="Times New Roman CYR"/>
          <w:noProof/>
          <w:sz w:val="28"/>
          <w:szCs w:val="28"/>
        </w:rPr>
        <w:t xml:space="preserve"> (Jank, et al., 2013)</w:t>
      </w:r>
      <w:r>
        <w:rPr>
          <w:rFonts w:ascii="Times New Roman CYR" w:hAnsi="Times New Roman CYR" w:cs="Times New Roman CYR"/>
          <w:sz w:val="28"/>
          <w:szCs w:val="28"/>
        </w:rPr>
        <w:t>. А Альвес и Мендес вообще не находят зависимости между результатами фондов и притоком ин</w:t>
      </w:r>
      <w:r>
        <w:rPr>
          <w:rFonts w:ascii="Times New Roman CYR" w:hAnsi="Times New Roman CYR" w:cs="Times New Roman CYR"/>
          <w:sz w:val="28"/>
          <w:szCs w:val="28"/>
        </w:rPr>
        <w:t>вестиций на рынке португальских взаимных фондов, которое не объясняется сложностью рынка или затратами на поиск информации</w:t>
      </w:r>
      <w:r>
        <w:rPr>
          <w:rFonts w:ascii="Times New Roman CYR" w:hAnsi="Times New Roman CYR" w:cs="Times New Roman CYR"/>
          <w:noProof/>
          <w:sz w:val="28"/>
          <w:szCs w:val="28"/>
        </w:rPr>
        <w:t xml:space="preserve"> (Alves, et al., 2011)</w:t>
      </w:r>
      <w:r>
        <w:rPr>
          <w:rFonts w:ascii="Times New Roman CYR" w:hAnsi="Times New Roman CYR" w:cs="Times New Roman CYR"/>
          <w:sz w:val="28"/>
          <w:szCs w:val="28"/>
        </w:rPr>
        <w:t>. Джаяраман, Корана и Неллинг тоже не находят зависимости между притоком средств в фонд и плохой предыдущей дохо</w:t>
      </w:r>
      <w:r>
        <w:rPr>
          <w:rFonts w:ascii="Times New Roman CYR" w:hAnsi="Times New Roman CYR" w:cs="Times New Roman CYR"/>
          <w:sz w:val="28"/>
          <w:szCs w:val="28"/>
        </w:rPr>
        <w:t>дности фонда</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авторы объясняют это тем, что из-за того, что их работа сфокусирована на фондах, заключающих сделки слияния и поглощения, все фонды имеют тенденцию к плохой доходности, что может влиять на значимость влияния.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Абрамов</w:t>
      </w:r>
      <w:r>
        <w:rPr>
          <w:rFonts w:ascii="Times New Roman CYR" w:hAnsi="Times New Roman CYR" w:cs="Times New Roman CYR"/>
          <w:sz w:val="28"/>
          <w:szCs w:val="28"/>
        </w:rPr>
        <w:t xml:space="preserve"> и Акшенцева при изучении притоков средств в российские ПИФы отмечают большую ориентацию российских инвесторов на доходность текущего года, а не на доходность прошлых лет</w:t>
      </w:r>
      <w:r>
        <w:rPr>
          <w:rFonts w:ascii="Times New Roman CYR" w:hAnsi="Times New Roman CYR" w:cs="Times New Roman CYR"/>
          <w:noProof/>
          <w:sz w:val="28"/>
          <w:szCs w:val="28"/>
        </w:rPr>
        <w:t xml:space="preserve"> (Абрамов, и др., 2014)</w:t>
      </w:r>
      <w:r>
        <w:rPr>
          <w:rFonts w:ascii="Times New Roman CYR" w:hAnsi="Times New Roman CYR" w:cs="Times New Roman CYR"/>
          <w:sz w:val="28"/>
          <w:szCs w:val="28"/>
        </w:rPr>
        <w:t>. По мнению авторов, данная закономерность может быть вызвана т</w:t>
      </w:r>
      <w:r>
        <w:rPr>
          <w:rFonts w:ascii="Times New Roman CYR" w:hAnsi="Times New Roman CYR" w:cs="Times New Roman CYR"/>
          <w:sz w:val="28"/>
          <w:szCs w:val="28"/>
        </w:rPr>
        <w:t>ем, что российские инвесторы являются более краткосрочными, по сравнению с инвесторами на других рынках.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Размер фонда.</w:t>
      </w:r>
      <w:r>
        <w:rPr>
          <w:rFonts w:ascii="Times New Roman CYR" w:hAnsi="Times New Roman CYR" w:cs="Times New Roman CYR"/>
          <w:sz w:val="28"/>
          <w:szCs w:val="28"/>
        </w:rPr>
        <w:t xml:space="preserve"> Авторы указывают на отрицательную зависимость между размером фонда и притоком денежных средств </w:t>
      </w:r>
      <w:r>
        <w:rPr>
          <w:rFonts w:ascii="Times New Roman CYR" w:hAnsi="Times New Roman CYR" w:cs="Times New Roman CYR"/>
          <w:noProof/>
          <w:sz w:val="28"/>
          <w:szCs w:val="28"/>
        </w:rPr>
        <w:t>(Jayaraman, et al., 2002)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(Sapp, et al., 2004) (Chou, et al., 2014)</w:t>
      </w:r>
      <w:r>
        <w:rPr>
          <w:rFonts w:ascii="Times New Roman CYR" w:hAnsi="Times New Roman CYR" w:cs="Times New Roman CYR"/>
          <w:sz w:val="28"/>
          <w:szCs w:val="28"/>
        </w:rPr>
        <w:t>. Это может быть связано с отрицательной зависимостью между размером фонда и его доходностью, как показано выше.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Возраст фонда.</w:t>
      </w:r>
      <w:r>
        <w:rPr>
          <w:rFonts w:ascii="Times New Roman CYR" w:hAnsi="Times New Roman CYR" w:cs="Times New Roman CYR"/>
          <w:sz w:val="28"/>
          <w:szCs w:val="28"/>
        </w:rPr>
        <w:t xml:space="preserve"> Также отрицательная зависимость наблюдается между возрастом фонда и притоком средств</w:t>
      </w:r>
      <w:r>
        <w:rPr>
          <w:rFonts w:ascii="Times New Roman CYR" w:hAnsi="Times New Roman CYR" w:cs="Times New Roman CYR"/>
          <w:noProof/>
          <w:sz w:val="28"/>
          <w:szCs w:val="28"/>
        </w:rPr>
        <w:t xml:space="preserve"> (C</w:t>
      </w:r>
      <w:r>
        <w:rPr>
          <w:rFonts w:ascii="Times New Roman CYR" w:hAnsi="Times New Roman CYR" w:cs="Times New Roman CYR"/>
          <w:noProof/>
          <w:sz w:val="28"/>
          <w:szCs w:val="28"/>
        </w:rPr>
        <w:t>hou, et al., 2014)</w:t>
      </w:r>
      <w:r>
        <w:rPr>
          <w:rFonts w:ascii="Times New Roman CYR" w:hAnsi="Times New Roman CYR" w:cs="Times New Roman CYR"/>
          <w:sz w:val="28"/>
          <w:szCs w:val="28"/>
        </w:rPr>
        <w:t xml:space="preserve">. Берк и Грин говорят о том, что с возрастом фонда инвесторы меньше реагируют на информацию о его доходности, так как накопленная ранее информация дает все большее представление о возможностях фонда </w:t>
      </w:r>
      <w:r>
        <w:rPr>
          <w:rFonts w:ascii="Times New Roman CYR" w:hAnsi="Times New Roman CYR" w:cs="Times New Roman CYR"/>
          <w:noProof/>
          <w:sz w:val="28"/>
          <w:szCs w:val="28"/>
        </w:rPr>
        <w:t>(Berk, et al., 2004)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Принадлежность к </w:t>
      </w:r>
      <w:r>
        <w:rPr>
          <w:rFonts w:ascii="Times New Roman CYR" w:hAnsi="Times New Roman CYR" w:cs="Times New Roman CYR"/>
          <w:i/>
          <w:iCs/>
          <w:sz w:val="28"/>
          <w:szCs w:val="28"/>
        </w:rPr>
        <w:t xml:space="preserve">крупной управляющей компании. </w:t>
      </w:r>
      <w:r>
        <w:rPr>
          <w:rFonts w:ascii="Times New Roman CYR" w:hAnsi="Times New Roman CYR" w:cs="Times New Roman CYR"/>
          <w:sz w:val="28"/>
          <w:szCs w:val="28"/>
        </w:rPr>
        <w:t xml:space="preserve">Авторы указывают на значительное положительное влияние размера управляющей компании </w:t>
      </w:r>
      <w:r>
        <w:rPr>
          <w:rFonts w:ascii="Times New Roman CYR" w:hAnsi="Times New Roman CYR" w:cs="Times New Roman CYR"/>
          <w:sz w:val="28"/>
          <w:szCs w:val="28"/>
        </w:rPr>
        <w:lastRenderedPageBreak/>
        <w:t>фонда на приток средств. Сирри и Туфано указывают, что увеличение размера управляющей компании снижает издержки поиска новых фондов для инвест</w:t>
      </w:r>
      <w:r>
        <w:rPr>
          <w:rFonts w:ascii="Times New Roman CYR" w:hAnsi="Times New Roman CYR" w:cs="Times New Roman CYR"/>
          <w:sz w:val="28"/>
          <w:szCs w:val="28"/>
        </w:rPr>
        <w:t xml:space="preserve">ирования (инвестор выбирает среди ряда фондов, находящихся под управлением одной компании) </w:t>
      </w:r>
      <w:r>
        <w:rPr>
          <w:rFonts w:ascii="Times New Roman CYR" w:hAnsi="Times New Roman CYR" w:cs="Times New Roman CYR"/>
          <w:noProof/>
          <w:sz w:val="28"/>
          <w:szCs w:val="28"/>
        </w:rPr>
        <w:t>(Sirri, et al., 1998)</w:t>
      </w:r>
      <w:r>
        <w:rPr>
          <w:rFonts w:ascii="Times New Roman CYR" w:hAnsi="Times New Roman CYR" w:cs="Times New Roman CYR"/>
          <w:sz w:val="28"/>
          <w:szCs w:val="28"/>
        </w:rPr>
        <w:t>, а Абрамов и Акшенцева считают, что направление влияния положительное из-за того, что крупным управляющим компаниям облегчен доступ к банкам ка</w:t>
      </w:r>
      <w:r>
        <w:rPr>
          <w:rFonts w:ascii="Times New Roman CYR" w:hAnsi="Times New Roman CYR" w:cs="Times New Roman CYR"/>
          <w:sz w:val="28"/>
          <w:szCs w:val="28"/>
        </w:rPr>
        <w:t>к к дистрибьюторам паев, соответственно становится более широким канал реализации, привлекающий все больше инвесторов</w:t>
      </w:r>
      <w:r>
        <w:rPr>
          <w:rFonts w:ascii="Times New Roman CYR" w:hAnsi="Times New Roman CYR" w:cs="Times New Roman CYR"/>
          <w:noProof/>
          <w:sz w:val="28"/>
          <w:szCs w:val="28"/>
        </w:rPr>
        <w:t xml:space="preserve"> (Абрамов, и др., 2014)</w:t>
      </w:r>
      <w:r>
        <w:rPr>
          <w:rFonts w:ascii="Times New Roman CYR" w:hAnsi="Times New Roman CYR" w:cs="Times New Roman CYR"/>
          <w:sz w:val="28"/>
          <w:szCs w:val="28"/>
        </w:rPr>
        <w:t>. Эту теорию подтверждают результаты Шинозава и Вивиан, которые нашли положительную зависимость между наличием розни</w:t>
      </w:r>
      <w:r>
        <w:rPr>
          <w:rFonts w:ascii="Times New Roman CYR" w:hAnsi="Times New Roman CYR" w:cs="Times New Roman CYR"/>
          <w:sz w:val="28"/>
          <w:szCs w:val="28"/>
        </w:rPr>
        <w:t>чных банков как канала дистрибуции акций взаимных фондов и притоком инвесторов в эти фонды на Японском рынке</w:t>
      </w:r>
      <w:r>
        <w:rPr>
          <w:rFonts w:ascii="Times New Roman CYR" w:hAnsi="Times New Roman CYR" w:cs="Times New Roman CYR"/>
          <w:noProof/>
          <w:sz w:val="28"/>
          <w:szCs w:val="28"/>
        </w:rPr>
        <w:t xml:space="preserve"> (Shinozawa, et al., 2015)</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Дженк и Ведоу утверждают, что увеличение размера управляющей компании изменяет саму функцию притока средств: фонды не то</w:t>
      </w:r>
      <w:r>
        <w:rPr>
          <w:rFonts w:ascii="Times New Roman CYR" w:hAnsi="Times New Roman CYR" w:cs="Times New Roman CYR"/>
          <w:sz w:val="28"/>
          <w:szCs w:val="28"/>
        </w:rPr>
        <w:t>лько испытывают больший приток средств при большей доходности, но и теряют больше инвесторов при отрицательной доходности. Кроме того, стремление зафиксировать прибыль при очень хорошей доходности так же увеличивается, и фонды, показывающие очень хорошие р</w:t>
      </w:r>
      <w:r>
        <w:rPr>
          <w:rFonts w:ascii="Times New Roman CYR" w:hAnsi="Times New Roman CYR" w:cs="Times New Roman CYR"/>
          <w:sz w:val="28"/>
          <w:szCs w:val="28"/>
        </w:rPr>
        <w:t>езультаты, испытывают более сильный отток</w:t>
      </w:r>
      <w:r>
        <w:rPr>
          <w:rFonts w:ascii="Times New Roman CYR" w:hAnsi="Times New Roman CYR" w:cs="Times New Roman CYR"/>
          <w:noProof/>
          <w:sz w:val="28"/>
          <w:szCs w:val="28"/>
        </w:rPr>
        <w:t xml:space="preserve"> (Jank, et al.,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Комиссии управляющим.</w:t>
      </w:r>
      <w:r>
        <w:rPr>
          <w:rFonts w:ascii="Times New Roman CYR" w:hAnsi="Times New Roman CYR" w:cs="Times New Roman CYR"/>
          <w:sz w:val="28"/>
          <w:szCs w:val="28"/>
        </w:rPr>
        <w:t xml:space="preserve"> Связь между комиссиями за управление и притоком денежных средств носит отрицательный характер</w:t>
      </w:r>
      <w:r>
        <w:rPr>
          <w:rFonts w:ascii="Times New Roman CYR" w:hAnsi="Times New Roman CYR" w:cs="Times New Roman CYR"/>
          <w:noProof/>
          <w:sz w:val="28"/>
          <w:szCs w:val="28"/>
        </w:rPr>
        <w:t xml:space="preserve"> (Jayaraman, et al., 2002) (Shinozawa, et al., 2015)</w:t>
      </w:r>
      <w:r>
        <w:rPr>
          <w:rFonts w:ascii="Times New Roman CYR" w:hAnsi="Times New Roman CYR" w:cs="Times New Roman CYR"/>
          <w:sz w:val="28"/>
          <w:szCs w:val="28"/>
        </w:rPr>
        <w:t>, при этом, как показываю</w:t>
      </w:r>
      <w:r>
        <w:rPr>
          <w:rFonts w:ascii="Times New Roman CYR" w:hAnsi="Times New Roman CYR" w:cs="Times New Roman CYR"/>
          <w:sz w:val="28"/>
          <w:szCs w:val="28"/>
        </w:rPr>
        <w:t xml:space="preserve">т Сирри и Туфано, реакция инвесторов на комиссии несимметрична: инвесторы по-разному реагируют на высокие и низкие комиссии, а также на снижение и повышение комиссий </w:t>
      </w:r>
      <w:r>
        <w:rPr>
          <w:rFonts w:ascii="Times New Roman CYR" w:hAnsi="Times New Roman CYR" w:cs="Times New Roman CYR"/>
          <w:noProof/>
          <w:sz w:val="28"/>
          <w:szCs w:val="28"/>
        </w:rPr>
        <w:t>(Sirri, et al., 1998)</w:t>
      </w:r>
      <w:r>
        <w:rPr>
          <w:rFonts w:ascii="Times New Roman CYR" w:hAnsi="Times New Roman CYR" w:cs="Times New Roman CYR"/>
          <w:sz w:val="28"/>
          <w:szCs w:val="28"/>
        </w:rPr>
        <w:t>. Однако, по их мнению, фонды с высокими комиссиями (которые предполо</w:t>
      </w:r>
      <w:r>
        <w:rPr>
          <w:rFonts w:ascii="Times New Roman CYR" w:hAnsi="Times New Roman CYR" w:cs="Times New Roman CYR"/>
          <w:sz w:val="28"/>
          <w:szCs w:val="28"/>
        </w:rPr>
        <w:t>жительно имеют более активный маркетинг), испытывают более сильную взаимосвязь доходности и притока средств, чем те, которые имеют более низкие комиссии.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lastRenderedPageBreak/>
        <w:t>Приток средств предыдущих периодов.</w:t>
      </w:r>
      <w:r>
        <w:rPr>
          <w:rFonts w:ascii="Times New Roman CYR" w:hAnsi="Times New Roman CYR" w:cs="Times New Roman CYR"/>
          <w:sz w:val="28"/>
          <w:szCs w:val="28"/>
        </w:rPr>
        <w:t xml:space="preserve"> Чоу и Хардин замечают положительную взаимосвязь между притоком сре</w:t>
      </w:r>
      <w:r>
        <w:rPr>
          <w:rFonts w:ascii="Times New Roman CYR" w:hAnsi="Times New Roman CYR" w:cs="Times New Roman CYR"/>
          <w:sz w:val="28"/>
          <w:szCs w:val="28"/>
        </w:rPr>
        <w:t>дств в прошлые периоды и текущим притоком средств на выборке из американских фондов недвижимости</w:t>
      </w:r>
      <w:r>
        <w:rPr>
          <w:rFonts w:ascii="Times New Roman CYR" w:hAnsi="Times New Roman CYR" w:cs="Times New Roman CYR"/>
          <w:noProof/>
          <w:sz w:val="28"/>
          <w:szCs w:val="28"/>
        </w:rPr>
        <w:t xml:space="preserve"> (Chou, et al., 2014)</w:t>
      </w:r>
      <w:r>
        <w:rPr>
          <w:rFonts w:ascii="Times New Roman CYR" w:hAnsi="Times New Roman CYR" w:cs="Times New Roman CYR"/>
          <w:sz w:val="28"/>
          <w:szCs w:val="28"/>
        </w:rPr>
        <w:t>. Возможно, это можно объяснить эффектом доверия: если другие инвесторы приходят в фонд, значит они провели все необходимые проверки и счит</w:t>
      </w:r>
      <w:r>
        <w:rPr>
          <w:rFonts w:ascii="Times New Roman CYR" w:hAnsi="Times New Roman CYR" w:cs="Times New Roman CYR"/>
          <w:sz w:val="28"/>
          <w:szCs w:val="28"/>
        </w:rPr>
        <w:t>ают, что фонд должен обыгрывать рынок.</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.8 Влияние сделок слияния и поглощения на доходность и приток средств в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литературе выделяют три возможных мотива к слиянию двух фондов: прекращение работы фонда с плохими результатами, увеличение притока сре</w:t>
      </w:r>
      <w:r>
        <w:rPr>
          <w:rFonts w:ascii="Times New Roman CYR" w:hAnsi="Times New Roman CYR" w:cs="Times New Roman CYR"/>
          <w:sz w:val="28"/>
          <w:szCs w:val="28"/>
        </w:rPr>
        <w:t>дств и желание использовать эффект масштаба для экономии на издержках. Рассмотрим подробнее все три гипотезы.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Доходность.</w:t>
      </w:r>
      <w:r>
        <w:rPr>
          <w:rFonts w:ascii="Times New Roman CYR" w:hAnsi="Times New Roman CYR" w:cs="Times New Roman CYR"/>
          <w:sz w:val="28"/>
          <w:szCs w:val="28"/>
        </w:rPr>
        <w:t xml:space="preserve"> Как отмечают Джаяраман, Корана и Неллинг и Корана, Туфано и Уэдж, плохая доходность предыдущих периодов является значительным фактором</w:t>
      </w:r>
      <w:r>
        <w:rPr>
          <w:rFonts w:ascii="Times New Roman CYR" w:hAnsi="Times New Roman CYR" w:cs="Times New Roman CYR"/>
          <w:sz w:val="28"/>
          <w:szCs w:val="28"/>
        </w:rPr>
        <w:t>, влияющим на вероятность поглощения фонда в результате внутрисемейного слияния</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(Khorana, et al., 2007)</w:t>
      </w:r>
      <w:r>
        <w:rPr>
          <w:rFonts w:ascii="Times New Roman CYR" w:hAnsi="Times New Roman CYR" w:cs="Times New Roman CYR"/>
          <w:sz w:val="28"/>
          <w:szCs w:val="28"/>
        </w:rPr>
        <w:t>. Это согласуется с теорией о том, что управляющие компании стремятся улучшить свою доходность, чтобы привлечь больше инвесторо</w:t>
      </w:r>
      <w:r>
        <w:rPr>
          <w:rFonts w:ascii="Times New Roman CYR" w:hAnsi="Times New Roman CYR" w:cs="Times New Roman CYR"/>
          <w:sz w:val="28"/>
          <w:szCs w:val="28"/>
        </w:rPr>
        <w:t>в и поэтому стараются избавиться от тех фондов, которые показывают плохие результаты. Тем не менее, как отмечает Джаяраман и соавторы, этот фактор не играет большой роли в объяснении межсемейных сделок слияния, что может объясняться тем, что при межсемейны</w:t>
      </w:r>
      <w:r>
        <w:rPr>
          <w:rFonts w:ascii="Times New Roman CYR" w:hAnsi="Times New Roman CYR" w:cs="Times New Roman CYR"/>
          <w:sz w:val="28"/>
          <w:szCs w:val="28"/>
        </w:rPr>
        <w:t>х сделках управляющие компании преследуют стратегические цели, нежели ориентируются на доходность фондов</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Помимо того, что прошлая доходность фонда влияет на вероятность совершения сделки слияния, сам факт случившейся сделки влияе</w:t>
      </w:r>
      <w:r>
        <w:rPr>
          <w:rFonts w:ascii="Times New Roman CYR" w:hAnsi="Times New Roman CYR" w:cs="Times New Roman CYR"/>
          <w:sz w:val="28"/>
          <w:szCs w:val="28"/>
        </w:rPr>
        <w:t xml:space="preserve">т на </w:t>
      </w:r>
      <w:r>
        <w:rPr>
          <w:rFonts w:ascii="Times New Roman CYR" w:hAnsi="Times New Roman CYR" w:cs="Times New Roman CYR"/>
          <w:sz w:val="28"/>
          <w:szCs w:val="28"/>
        </w:rPr>
        <w:lastRenderedPageBreak/>
        <w:t>последующую доходность фондов. Джаяраман и соавторы показывают, что по этому признаку основными бенефициарами сделок слияния является поглощаемые фонды, так как их доходность улучшается после слияния, в то время как доходность фондов-поглотителей сниж</w:t>
      </w:r>
      <w:r>
        <w:rPr>
          <w:rFonts w:ascii="Times New Roman CYR" w:hAnsi="Times New Roman CYR" w:cs="Times New Roman CYR"/>
          <w:sz w:val="28"/>
          <w:szCs w:val="28"/>
        </w:rPr>
        <w:t>ается</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Андреу и Сарто, напротив, не находят подобной зависимости несмотря на то, что согласны с Джаяраман в том, что поглощаемые фонды показывают более плохие результаты, чем фонды-поглотители до слияния</w:t>
      </w:r>
      <w:r>
        <w:rPr>
          <w:rFonts w:ascii="Times New Roman CYR" w:hAnsi="Times New Roman CYR" w:cs="Times New Roman CYR"/>
          <w:noProof/>
          <w:sz w:val="28"/>
          <w:szCs w:val="28"/>
        </w:rPr>
        <w:t xml:space="preserve"> (Andreu, et al.,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Пр</w:t>
      </w:r>
      <w:r>
        <w:rPr>
          <w:rFonts w:ascii="Times New Roman CYR" w:hAnsi="Times New Roman CYR" w:cs="Times New Roman CYR"/>
          <w:i/>
          <w:iCs/>
          <w:sz w:val="28"/>
          <w:szCs w:val="28"/>
        </w:rPr>
        <w:t>иток средств.</w:t>
      </w:r>
      <w:r>
        <w:rPr>
          <w:rFonts w:ascii="Times New Roman CYR" w:hAnsi="Times New Roman CYR" w:cs="Times New Roman CYR"/>
          <w:sz w:val="28"/>
          <w:szCs w:val="28"/>
        </w:rPr>
        <w:t xml:space="preserve"> Большинство исследователей сходятся во мнении, что до слияния поглощаемые фонды испытывают нетто-отток средств</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(Andreu, et al., 2013)</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(Allen, et al., 2006)</w:t>
      </w:r>
      <w:r>
        <w:rPr>
          <w:rFonts w:ascii="Times New Roman CYR" w:hAnsi="Times New Roman CYR" w:cs="Times New Roman CYR"/>
          <w:sz w:val="28"/>
          <w:szCs w:val="28"/>
        </w:rPr>
        <w:t>? При этом Джаяраман также отмечает отток средств у фондов-по</w:t>
      </w:r>
      <w:r>
        <w:rPr>
          <w:rFonts w:ascii="Times New Roman CYR" w:hAnsi="Times New Roman CYR" w:cs="Times New Roman CYR"/>
          <w:sz w:val="28"/>
          <w:szCs w:val="28"/>
        </w:rPr>
        <w:t>глотителей (хотя и меньший, чем у поглощаемых). Такие результаты позволяют сделать предположение о том, что одним из мотивов к слиянию является попытка остановить отток инвесторов. Тем не менее, слияние само по себе не решает этой проблемы, так как отток с</w:t>
      </w:r>
      <w:r>
        <w:rPr>
          <w:rFonts w:ascii="Times New Roman CYR" w:hAnsi="Times New Roman CYR" w:cs="Times New Roman CYR"/>
          <w:sz w:val="28"/>
          <w:szCs w:val="28"/>
        </w:rPr>
        <w:t xml:space="preserve">редств сохраняется и даже увеличивается в течение года после слияния </w:t>
      </w:r>
      <w:r>
        <w:rPr>
          <w:rFonts w:ascii="Times New Roman CYR" w:hAnsi="Times New Roman CYR" w:cs="Times New Roman CYR"/>
          <w:noProof/>
          <w:sz w:val="28"/>
          <w:szCs w:val="28"/>
        </w:rPr>
        <w:t>(Jayaraman, et al., 2002)</w:t>
      </w:r>
      <w:r>
        <w:rPr>
          <w:rFonts w:ascii="Times New Roman CYR" w:hAnsi="Times New Roman CYR" w:cs="Times New Roman CYR"/>
          <w:sz w:val="28"/>
          <w:szCs w:val="28"/>
        </w:rPr>
        <w:t>. Немного к другому результату приходят Андреу и Сарто, которые не обнаруживают значимого отличия в притоках средств между выборками фондов, переживших слияние, и</w:t>
      </w:r>
      <w:r>
        <w:rPr>
          <w:rFonts w:ascii="Times New Roman CYR" w:hAnsi="Times New Roman CYR" w:cs="Times New Roman CYR"/>
          <w:sz w:val="28"/>
          <w:szCs w:val="28"/>
        </w:rPr>
        <w:t xml:space="preserve"> остальных</w:t>
      </w:r>
      <w:r>
        <w:rPr>
          <w:rFonts w:ascii="Times New Roman CYR" w:hAnsi="Times New Roman CYR" w:cs="Times New Roman CYR"/>
          <w:noProof/>
          <w:sz w:val="28"/>
          <w:szCs w:val="28"/>
        </w:rPr>
        <w:t xml:space="preserve"> (Andreu, et al., 2013)</w:t>
      </w:r>
      <w:r>
        <w:rPr>
          <w:rFonts w:ascii="Times New Roman CYR" w:hAnsi="Times New Roman CYR" w:cs="Times New Roman CYR"/>
          <w:sz w:val="28"/>
          <w:szCs w:val="28"/>
        </w:rPr>
        <w:t>. При этом, они указывают на значительное увеличение отдельно притоков и оттоков после слияния, что указывает на наличие некоего эффекта на восприятие инвесторами фонда. Интересно, что при этом эффект наблюдается только в д</w:t>
      </w:r>
      <w:r>
        <w:rPr>
          <w:rFonts w:ascii="Times New Roman CYR" w:hAnsi="Times New Roman CYR" w:cs="Times New Roman CYR"/>
          <w:sz w:val="28"/>
          <w:szCs w:val="28"/>
        </w:rPr>
        <w:t>енежном выражении, а в случае анализа прихода и ухода инвесторов значимых эффектов не обнаружено.</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Эффект масштаба.</w:t>
      </w:r>
      <w:r>
        <w:rPr>
          <w:rFonts w:ascii="Times New Roman CYR" w:hAnsi="Times New Roman CYR" w:cs="Times New Roman CYR"/>
          <w:sz w:val="28"/>
          <w:szCs w:val="28"/>
        </w:rPr>
        <w:t xml:space="preserve"> В пользу гипотезы о влиянии эффекта масштаба говорят результаты Джаярамана о том, что расходы поглощаемого фонда падают до уровней поглотител</w:t>
      </w:r>
      <w:r>
        <w:rPr>
          <w:rFonts w:ascii="Times New Roman CYR" w:hAnsi="Times New Roman CYR" w:cs="Times New Roman CYR"/>
          <w:sz w:val="28"/>
          <w:szCs w:val="28"/>
        </w:rPr>
        <w:t>я после слияния, а расходы фонда-поглотителя падают 2 года спустя</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xml:space="preserve">. К тому же, как показывает Пэрк, фонды больше предпочитают сливаться с теми фондами, которые имеют </w:t>
      </w:r>
      <w:r>
        <w:rPr>
          <w:rFonts w:ascii="Times New Roman CYR" w:hAnsi="Times New Roman CYR" w:cs="Times New Roman CYR"/>
          <w:sz w:val="28"/>
          <w:szCs w:val="28"/>
        </w:rPr>
        <w:lastRenderedPageBreak/>
        <w:t>одинаковые с ними каналы дистрибуции акций (через посредников или</w:t>
      </w:r>
      <w:r>
        <w:rPr>
          <w:rFonts w:ascii="Times New Roman CYR" w:hAnsi="Times New Roman CYR" w:cs="Times New Roman CYR"/>
          <w:sz w:val="28"/>
          <w:szCs w:val="28"/>
        </w:rPr>
        <w:t xml:space="preserve"> напрямую через УК), что может указывать на желание получения экономии на масштабе для расходов на маркетинг и продажи</w:t>
      </w:r>
      <w:r>
        <w:rPr>
          <w:rFonts w:ascii="Times New Roman CYR" w:hAnsi="Times New Roman CYR" w:cs="Times New Roman CYR"/>
          <w:noProof/>
          <w:sz w:val="28"/>
          <w:szCs w:val="28"/>
        </w:rPr>
        <w:t xml:space="preserve"> (Park, 2013)</w:t>
      </w:r>
      <w:r>
        <w:rPr>
          <w:rFonts w:ascii="Times New Roman CYR" w:hAnsi="Times New Roman CYR" w:cs="Times New Roman CYR"/>
          <w:sz w:val="28"/>
          <w:szCs w:val="28"/>
        </w:rPr>
        <w:t>. Более того, он указывает на эффективность такого метода, так как после слияния те фонды, которые имели одинаковые каналы ди</w:t>
      </w:r>
      <w:r>
        <w:rPr>
          <w:rFonts w:ascii="Times New Roman CYR" w:hAnsi="Times New Roman CYR" w:cs="Times New Roman CYR"/>
          <w:sz w:val="28"/>
          <w:szCs w:val="28"/>
        </w:rPr>
        <w:t>стрибуции, получают больший приток средств по сравнению с остальными.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Помимо этого, авторы выделяют и другие факторы, влияющие на вероятность совершения слияния. Так, Жао утверждает, что размер фонда играет ключевую роль в принятии решения о слиянии: фонды</w:t>
      </w:r>
      <w:r>
        <w:rPr>
          <w:rFonts w:ascii="Times New Roman CYR" w:hAnsi="Times New Roman CYR" w:cs="Times New Roman CYR"/>
          <w:sz w:val="28"/>
          <w:szCs w:val="28"/>
        </w:rPr>
        <w:t xml:space="preserve"> с более маленьким объемом активов имеют большую вероятность быть поглощенными</w:t>
      </w:r>
      <w:r>
        <w:rPr>
          <w:rFonts w:ascii="Times New Roman CYR" w:hAnsi="Times New Roman CYR" w:cs="Times New Roman CYR"/>
          <w:noProof/>
          <w:sz w:val="28"/>
          <w:szCs w:val="28"/>
        </w:rPr>
        <w:t xml:space="preserve"> (Zhao, 2005)</w:t>
      </w:r>
      <w:r>
        <w:rPr>
          <w:rFonts w:ascii="Times New Roman CYR" w:hAnsi="Times New Roman CYR" w:cs="Times New Roman CYR"/>
          <w:sz w:val="28"/>
          <w:szCs w:val="28"/>
        </w:rPr>
        <w:t>. Кроме того, он показывает, что вероятность ликвидации фонда с плохой доходностью путем внутрисемейного слияния выше для крупных семей фондов, так как для этих упра</w:t>
      </w:r>
      <w:r>
        <w:rPr>
          <w:rFonts w:ascii="Times New Roman CYR" w:hAnsi="Times New Roman CYR" w:cs="Times New Roman CYR"/>
          <w:sz w:val="28"/>
          <w:szCs w:val="28"/>
        </w:rPr>
        <w:t>вляющих компаний выгоды от наличия отличной исторической доходности перевешивают выгоды, получаемые в виде комиссий за управление с этого фонда. Корана, Туфано и Уэдж замечают, что структура совет директоров тоже может влиять на принятие решения о ликвидац</w:t>
      </w:r>
      <w:r>
        <w:rPr>
          <w:rFonts w:ascii="Times New Roman CYR" w:hAnsi="Times New Roman CYR" w:cs="Times New Roman CYR"/>
          <w:sz w:val="28"/>
          <w:szCs w:val="28"/>
        </w:rPr>
        <w:t>ии фонда с плохой доходностью: совет, состоящий из независимых директоров, менее терпим к плохой доходности и более вероятно примет решение о слиянии</w:t>
      </w:r>
      <w:r>
        <w:rPr>
          <w:rFonts w:ascii="Times New Roman CYR" w:hAnsi="Times New Roman CYR" w:cs="Times New Roman CYR"/>
          <w:noProof/>
          <w:sz w:val="28"/>
          <w:szCs w:val="28"/>
        </w:rPr>
        <w:t xml:space="preserve"> (Khorana, et al., 2007)</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России мотивом к слиянию внутри семьи выступало в основном желание получить эко</w:t>
      </w:r>
      <w:r>
        <w:rPr>
          <w:rFonts w:ascii="Times New Roman CYR" w:hAnsi="Times New Roman CYR" w:cs="Times New Roman CYR"/>
          <w:sz w:val="28"/>
          <w:szCs w:val="28"/>
        </w:rPr>
        <w:t>номию на масштабе. Так, президент Национальной лиги управляющих (НЛУ) Дмитрий Александров отмечал, что "администрирование фонда обходится дорого, и чем крупнее фонд, тем выгоднее управление", а генеральный директор УК "Альфа-Капитал" Ирина Кривошеева объяс</w:t>
      </w:r>
      <w:r>
        <w:rPr>
          <w:rFonts w:ascii="Times New Roman CYR" w:hAnsi="Times New Roman CYR" w:cs="Times New Roman CYR"/>
          <w:sz w:val="28"/>
          <w:szCs w:val="28"/>
        </w:rPr>
        <w:t>няла, что "Альфа-Капитал" объединяет фонды для удобства продаж</w:t>
      </w:r>
      <w:r>
        <w:rPr>
          <w:rFonts w:ascii="Times New Roman CYR" w:hAnsi="Times New Roman CYR" w:cs="Times New Roman CYR"/>
          <w:noProof/>
          <w:sz w:val="28"/>
          <w:szCs w:val="28"/>
        </w:rPr>
        <w:t xml:space="preserve"> (Орлова, 2014)</w:t>
      </w:r>
      <w:r>
        <w:rPr>
          <w:rFonts w:ascii="Times New Roman CYR" w:hAnsi="Times New Roman CYR" w:cs="Times New Roman CYR"/>
          <w:sz w:val="28"/>
          <w:szCs w:val="28"/>
        </w:rPr>
        <w:t>. Такого же мнения придерживается и Владимир Потапов, председатель совета директоров "ВТБ капитал управление активами"</w:t>
      </w:r>
      <w:r>
        <w:rPr>
          <w:rFonts w:ascii="Times New Roman CYR" w:hAnsi="Times New Roman CYR" w:cs="Times New Roman CYR"/>
          <w:noProof/>
          <w:sz w:val="28"/>
          <w:szCs w:val="28"/>
        </w:rPr>
        <w:t xml:space="preserve"> (Орлова,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Выводы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Российские паевые инвестиционные фо</w:t>
      </w:r>
      <w:r>
        <w:rPr>
          <w:rFonts w:ascii="Times New Roman CYR" w:hAnsi="Times New Roman CYR" w:cs="Times New Roman CYR"/>
          <w:sz w:val="28"/>
          <w:szCs w:val="28"/>
        </w:rPr>
        <w:t>нды переживают не лучший этап жизни, несмотря на то, что они в целом жизнеспособны и показывают не самые плохие результаты. Отрасли в целом присущи следующие особенности: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Нетто-отток инвестиций начиная с 2009 года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Тенденция к уходу средств в ЗПИФы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Ко</w:t>
      </w:r>
      <w:r>
        <w:rPr>
          <w:rFonts w:ascii="Times New Roman CYR" w:hAnsi="Times New Roman CYR" w:cs="Times New Roman CYR"/>
          <w:sz w:val="28"/>
          <w:szCs w:val="28"/>
        </w:rPr>
        <w:t>нсолидация отрасли, волна межсемейных сделок слияния, прошедших после поправок, внесенных в законодательство</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Спекулятивные настроения инвесторов, отсутствие долгосрочных инвестиций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Отсутствие последовательной стратегии развития отрасли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Исследования в о</w:t>
      </w:r>
      <w:r>
        <w:rPr>
          <w:rFonts w:ascii="Times New Roman CYR" w:hAnsi="Times New Roman CYR" w:cs="Times New Roman CYR"/>
          <w:sz w:val="28"/>
          <w:szCs w:val="28"/>
        </w:rPr>
        <w:t>бласти доходности и притока средств во взаимные фонды начали проводиться давно, но большинство из работ исследуют взаимосвязи на рынке взаимных фондов США, тогда как другим странам уделялось меньше внимания. Некоторые исследователи показывают, что зависимо</w:t>
      </w:r>
      <w:r>
        <w:rPr>
          <w:rFonts w:ascii="Times New Roman CYR" w:hAnsi="Times New Roman CYR" w:cs="Times New Roman CYR"/>
          <w:sz w:val="28"/>
          <w:szCs w:val="28"/>
        </w:rPr>
        <w:t>сти для США уникальны, и не повторяются на других рынках.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Основными детерминантами доходности фонда считаются доходность прошлого периода, приток инвестиций в прошлом периоде, возраст фонда, размер фонда, расходы фонда. Основными детерминантами притока инв</w:t>
      </w:r>
      <w:r>
        <w:rPr>
          <w:rFonts w:ascii="Times New Roman CYR" w:hAnsi="Times New Roman CYR" w:cs="Times New Roman CYR"/>
          <w:sz w:val="28"/>
          <w:szCs w:val="28"/>
        </w:rPr>
        <w:t>естиций в фонды считается доходность прошлого периода, размер и возраст фонда, размер комиссий и принадлежность к крупным управляющим компаниям.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Мотивами к сделкам слияния на рынке взаимных фондов являются: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Желание убрать из линейки фонды с плохой доходн</w:t>
      </w:r>
      <w:r>
        <w:rPr>
          <w:rFonts w:ascii="Times New Roman CYR" w:hAnsi="Times New Roman CYR" w:cs="Times New Roman CYR"/>
          <w:sz w:val="28"/>
          <w:szCs w:val="28"/>
        </w:rPr>
        <w:t>остью</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Желание увеличить приток инвесторов в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Желание получить экономию на издержках благодаря эффекту масштаба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br w:type="page"/>
      </w:r>
      <w:r>
        <w:rPr>
          <w:rFonts w:ascii="Times New Roman CYR" w:hAnsi="Times New Roman CYR" w:cs="Times New Roman CYR"/>
          <w:b/>
          <w:bCs/>
          <w:sz w:val="28"/>
          <w:szCs w:val="28"/>
        </w:rPr>
        <w:lastRenderedPageBreak/>
        <w:t>Глава 2. Однофакторный анализ: эффект от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Описание данных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итоговую выборку вошли 83 открытых паевых инвестиционных фонда, уча</w:t>
      </w:r>
      <w:r>
        <w:rPr>
          <w:rFonts w:ascii="Times New Roman CYR" w:hAnsi="Times New Roman CYR" w:cs="Times New Roman CYR"/>
          <w:sz w:val="28"/>
          <w:szCs w:val="28"/>
        </w:rPr>
        <w:t xml:space="preserve">ствовавших в сделках слияния внутри семьи в 2014 и 2015 годах. Всего выборка состоит из 6216 фондо-месяцев. Сбор данных осуществлялся с использованием информации Национальной Лиги Управляющих, Московской биржи, аналитического агентства </w:t>
      </w:r>
      <w:r>
        <w:rPr>
          <w:rFonts w:ascii="Times New Roman CYR" w:hAnsi="Times New Roman CYR" w:cs="Times New Roman CYR"/>
          <w:sz w:val="28"/>
          <w:szCs w:val="28"/>
          <w:lang w:val="en-US"/>
        </w:rPr>
        <w:t>Cbonds</w:t>
      </w:r>
      <w:r>
        <w:rPr>
          <w:rFonts w:ascii="Times New Roman CYR" w:hAnsi="Times New Roman CYR" w:cs="Times New Roman CYR"/>
          <w:sz w:val="28"/>
          <w:szCs w:val="28"/>
        </w:rPr>
        <w:t xml:space="preserve">, базы данных </w:t>
      </w:r>
      <w:r>
        <w:rPr>
          <w:rFonts w:ascii="Times New Roman CYR" w:hAnsi="Times New Roman CYR" w:cs="Times New Roman CYR"/>
          <w:sz w:val="28"/>
          <w:szCs w:val="28"/>
          <w:lang w:val="en-US"/>
        </w:rPr>
        <w:t>CEIC</w:t>
      </w:r>
      <w:r>
        <w:rPr>
          <w:rFonts w:ascii="Times New Roman CYR" w:hAnsi="Times New Roman CYR" w:cs="Times New Roman CYR"/>
          <w:sz w:val="28"/>
          <w:szCs w:val="28"/>
        </w:rPr>
        <w:t>, а также отчетов управляющих компаний.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Данные включают в себя информацию о цене фонда, о его типе, объеме средств под управлением, вознаграждении управляющей компании, депозитария и других расходах, минимальной суммы инвестирования, дате начала работы</w:t>
      </w:r>
      <w:r>
        <w:rPr>
          <w:rFonts w:ascii="Times New Roman CYR" w:hAnsi="Times New Roman CYR" w:cs="Times New Roman CYR"/>
          <w:sz w:val="28"/>
          <w:szCs w:val="28"/>
        </w:rPr>
        <w:t xml:space="preserve"> фонда, а также дате совершения сделки слияния. Период наблюдения - 2007-2015 год, с интервалом в 1 месяц.</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Далее были рассчитаны следующие показатели: доходность фонда, приток инвестиций и избыточная доходность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Доходность фонда считалась по следующе</w:t>
      </w:r>
      <w:r>
        <w:rPr>
          <w:rFonts w:ascii="Times New Roman CYR" w:hAnsi="Times New Roman CYR" w:cs="Times New Roman CYR"/>
          <w:sz w:val="28"/>
          <w:szCs w:val="28"/>
        </w:rPr>
        <w:t>й формуле: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1567815" cy="3714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567815" cy="371475"/>
                    </a:xfrm>
                    <a:prstGeom prst="rect">
                      <a:avLst/>
                    </a:prstGeom>
                    <a:noFill/>
                    <a:ln w="9525">
                      <a:noFill/>
                      <a:miter lim="800000"/>
                      <a:headEnd/>
                      <a:tailEnd/>
                    </a:ln>
                  </pic:spPr>
                </pic:pic>
              </a:graphicData>
            </a:graphic>
          </wp:inline>
        </w:drawing>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150495" cy="180975"/>
            <wp:effectExtent l="1905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5049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150495" cy="180975"/>
            <wp:effectExtent l="1905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5049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доходность фонда за месяц </w:t>
      </w:r>
      <w:r>
        <w:rPr>
          <w:rFonts w:ascii="Times New Roman CYR" w:hAnsi="Times New Roman CYR" w:cs="Times New Roman CYR"/>
          <w:i/>
          <w:iCs/>
          <w:sz w:val="28"/>
          <w:szCs w:val="28"/>
          <w:lang w:val="en-US"/>
        </w:rPr>
        <w:t>t</w:t>
      </w:r>
      <w:r>
        <w:rPr>
          <w:rFonts w:ascii="Times New Roman CYR" w:hAnsi="Times New Roman CYR" w:cs="Times New Roman CYR"/>
          <w:sz w:val="28"/>
          <w:szCs w:val="28"/>
        </w:rPr>
        <w:t xml:space="preserve">, </w:t>
      </w:r>
      <w:r w:rsidR="003549B8">
        <w:rPr>
          <w:rFonts w:ascii="Microsoft Sans Serif" w:hAnsi="Microsoft Sans Serif" w:cs="Microsoft Sans Serif"/>
          <w:noProof/>
          <w:sz w:val="17"/>
          <w:szCs w:val="17"/>
        </w:rPr>
        <w:drawing>
          <wp:inline distT="0" distB="0" distL="0" distR="0">
            <wp:extent cx="170815" cy="180975"/>
            <wp:effectExtent l="19050" t="0" r="63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17081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170815" cy="180975"/>
            <wp:effectExtent l="19050" t="0" r="63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17081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цена фонда в конце месяца</w:t>
      </w:r>
      <w:r>
        <w:rPr>
          <w:rFonts w:ascii="Times New Roman CYR" w:hAnsi="Times New Roman CYR" w:cs="Times New Roman CYR"/>
          <w:i/>
          <w:iCs/>
          <w:sz w:val="28"/>
          <w:szCs w:val="28"/>
        </w:rPr>
        <w:t xml:space="preserve"> </w:t>
      </w:r>
      <w:r>
        <w:rPr>
          <w:rFonts w:ascii="Times New Roman CYR" w:hAnsi="Times New Roman CYR" w:cs="Times New Roman CYR"/>
          <w:i/>
          <w:iCs/>
          <w:sz w:val="28"/>
          <w:szCs w:val="28"/>
          <w:lang w:val="en-US"/>
        </w:rPr>
        <w:t>t</w:t>
      </w:r>
      <w:r>
        <w:rPr>
          <w:rFonts w:ascii="Times New Roman CYR" w:hAnsi="Times New Roman CYR" w:cs="Times New Roman CYR"/>
          <w:sz w:val="28"/>
          <w:szCs w:val="28"/>
        </w:rPr>
        <w:t xml:space="preserve">, </w:t>
      </w:r>
      <w:r w:rsidR="003549B8">
        <w:rPr>
          <w:rFonts w:ascii="Microsoft Sans Serif" w:hAnsi="Microsoft Sans Serif" w:cs="Microsoft Sans Serif"/>
          <w:noProof/>
          <w:sz w:val="17"/>
          <w:szCs w:val="17"/>
        </w:rPr>
        <w:drawing>
          <wp:inline distT="0" distB="0" distL="0" distR="0">
            <wp:extent cx="271145" cy="18097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27114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271145" cy="18097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a:stretch>
                      <a:fillRect/>
                    </a:stretch>
                  </pic:blipFill>
                  <pic:spPr bwMode="auto">
                    <a:xfrm>
                      <a:off x="0" y="0"/>
                      <a:ext cx="27114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цена фонда в конце месяца </w:t>
      </w:r>
      <w:r>
        <w:rPr>
          <w:rFonts w:ascii="Times New Roman CYR" w:hAnsi="Times New Roman CYR" w:cs="Times New Roman CYR"/>
          <w:i/>
          <w:iCs/>
          <w:sz w:val="28"/>
          <w:szCs w:val="28"/>
          <w:lang w:val="en-US"/>
        </w:rPr>
        <w:t>t</w:t>
      </w:r>
      <w:r>
        <w:rPr>
          <w:rFonts w:ascii="Times New Roman CYR" w:hAnsi="Times New Roman CYR" w:cs="Times New Roman CYR"/>
          <w:i/>
          <w:iCs/>
          <w:sz w:val="28"/>
          <w:szCs w:val="28"/>
        </w:rPr>
        <w:t>-1</w:t>
      </w:r>
      <w:r>
        <w:rPr>
          <w:rFonts w:ascii="Times New Roman CYR" w:hAnsi="Times New Roman CYR" w:cs="Times New Roman CYR"/>
          <w:sz w:val="28"/>
          <w:szCs w:val="28"/>
        </w:rPr>
        <w:t>.</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Так как изменение в стоимости активов под управлением фонда отражает сумму доходности фонда и притока инвестиций в него, то приток инвестиций за месяц </w:t>
      </w:r>
      <w:r>
        <w:rPr>
          <w:rFonts w:ascii="Times New Roman CYR" w:hAnsi="Times New Roman CYR" w:cs="Times New Roman CYR"/>
          <w:sz w:val="28"/>
          <w:szCs w:val="28"/>
          <w:lang w:val="en-US"/>
        </w:rPr>
        <w:t>t</w:t>
      </w:r>
      <w:r>
        <w:rPr>
          <w:rFonts w:ascii="Times New Roman CYR" w:hAnsi="Times New Roman CYR" w:cs="Times New Roman CYR"/>
          <w:sz w:val="28"/>
          <w:szCs w:val="28"/>
        </w:rPr>
        <w:t xml:space="preserve"> вычислялся по следующей формуле:</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3336290" cy="41211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336290" cy="41211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391795" cy="180975"/>
            <wp:effectExtent l="1905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39179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91795" cy="180975"/>
            <wp:effectExtent l="19050" t="0" r="825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9179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инвестиций за месяц </w:t>
      </w:r>
      <w:r>
        <w:rPr>
          <w:rFonts w:ascii="Times New Roman CYR" w:hAnsi="Times New Roman CYR" w:cs="Times New Roman CYR"/>
          <w:i/>
          <w:iCs/>
          <w:sz w:val="28"/>
          <w:szCs w:val="28"/>
          <w:lang w:val="en-US"/>
        </w:rPr>
        <w:t>t</w:t>
      </w:r>
      <w:r>
        <w:rPr>
          <w:rFonts w:ascii="Times New Roman CYR" w:hAnsi="Times New Roman CYR" w:cs="Times New Roman CYR"/>
          <w:sz w:val="28"/>
          <w:szCs w:val="28"/>
        </w:rPr>
        <w:t xml:space="preserve">, </w:t>
      </w:r>
      <w:r w:rsidR="003549B8">
        <w:rPr>
          <w:rFonts w:ascii="Microsoft Sans Serif" w:hAnsi="Microsoft Sans Serif" w:cs="Microsoft Sans Serif"/>
          <w:noProof/>
          <w:sz w:val="17"/>
          <w:szCs w:val="17"/>
        </w:rPr>
        <w:drawing>
          <wp:inline distT="0" distB="0" distL="0" distR="0">
            <wp:extent cx="381635" cy="18097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8163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81635" cy="18097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38163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размер активов под управлением фонда</w:t>
      </w:r>
      <w:r>
        <w:rPr>
          <w:rFonts w:ascii="Times New Roman CYR" w:hAnsi="Times New Roman CYR" w:cs="Times New Roman CYR"/>
          <w:sz w:val="28"/>
          <w:szCs w:val="28"/>
        </w:rPr>
        <w:t xml:space="preserve"> в конце месяца </w:t>
      </w:r>
      <w:r>
        <w:rPr>
          <w:rFonts w:ascii="Times New Roman CYR" w:hAnsi="Times New Roman CYR" w:cs="Times New Roman CYR"/>
          <w:i/>
          <w:iCs/>
          <w:sz w:val="28"/>
          <w:szCs w:val="28"/>
          <w:lang w:val="en-US"/>
        </w:rPr>
        <w:t>t</w:t>
      </w:r>
      <w:r>
        <w:rPr>
          <w:rFonts w:ascii="Times New Roman CYR" w:hAnsi="Times New Roman CYR" w:cs="Times New Roman CYR"/>
          <w:sz w:val="28"/>
          <w:szCs w:val="28"/>
        </w:rPr>
        <w:t xml:space="preserve">, </w:t>
      </w:r>
      <w:r w:rsidR="003549B8">
        <w:rPr>
          <w:rFonts w:ascii="Microsoft Sans Serif" w:hAnsi="Microsoft Sans Serif" w:cs="Microsoft Sans Serif"/>
          <w:noProof/>
          <w:sz w:val="17"/>
          <w:szCs w:val="17"/>
        </w:rPr>
        <w:drawing>
          <wp:inline distT="0" distB="0" distL="0" distR="0">
            <wp:extent cx="522605" cy="18097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52260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22605" cy="18097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52260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размер </w:t>
      </w:r>
      <w:r>
        <w:rPr>
          <w:rFonts w:ascii="Times New Roman CYR" w:hAnsi="Times New Roman CYR" w:cs="Times New Roman CYR"/>
          <w:sz w:val="28"/>
          <w:szCs w:val="28"/>
        </w:rPr>
        <w:lastRenderedPageBreak/>
        <w:t xml:space="preserve">активов под управлением фонда в конце месяца </w:t>
      </w:r>
      <w:r>
        <w:rPr>
          <w:rFonts w:ascii="Times New Roman CYR" w:hAnsi="Times New Roman CYR" w:cs="Times New Roman CYR"/>
          <w:i/>
          <w:iCs/>
          <w:sz w:val="28"/>
          <w:szCs w:val="28"/>
          <w:lang w:val="en-US"/>
        </w:rPr>
        <w:t>t</w:t>
      </w:r>
      <w:r>
        <w:rPr>
          <w:rFonts w:ascii="Times New Roman CYR" w:hAnsi="Times New Roman CYR" w:cs="Times New Roman CYR"/>
          <w:i/>
          <w:iCs/>
          <w:sz w:val="28"/>
          <w:szCs w:val="28"/>
        </w:rPr>
        <w:t>-1</w:t>
      </w:r>
      <w:r>
        <w:rPr>
          <w:rFonts w:ascii="Times New Roman CYR" w:hAnsi="Times New Roman CYR" w:cs="Times New Roman CYR"/>
          <w:sz w:val="28"/>
          <w:szCs w:val="28"/>
        </w:rPr>
        <w:t xml:space="preserve">, а </w:t>
      </w:r>
      <w:r w:rsidR="003549B8">
        <w:rPr>
          <w:rFonts w:ascii="Microsoft Sans Serif" w:hAnsi="Microsoft Sans Serif" w:cs="Microsoft Sans Serif"/>
          <w:noProof/>
          <w:sz w:val="17"/>
          <w:szCs w:val="17"/>
        </w:rPr>
        <w:drawing>
          <wp:inline distT="0" distB="0" distL="0" distR="0">
            <wp:extent cx="522605" cy="18097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52260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22605" cy="18097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52260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размер активов на конец месяца </w:t>
      </w:r>
      <w:r>
        <w:rPr>
          <w:rFonts w:ascii="Times New Roman CYR" w:hAnsi="Times New Roman CYR" w:cs="Times New Roman CYR"/>
          <w:i/>
          <w:iCs/>
          <w:sz w:val="28"/>
          <w:szCs w:val="28"/>
          <w:lang w:val="en-US"/>
        </w:rPr>
        <w:t>t</w:t>
      </w:r>
      <w:r>
        <w:rPr>
          <w:rFonts w:ascii="Times New Roman CYR" w:hAnsi="Times New Roman CYR" w:cs="Times New Roman CYR"/>
          <w:i/>
          <w:iCs/>
          <w:sz w:val="28"/>
          <w:szCs w:val="28"/>
        </w:rPr>
        <w:t>-1</w:t>
      </w:r>
      <w:r>
        <w:rPr>
          <w:rFonts w:ascii="Times New Roman CYR" w:hAnsi="Times New Roman CYR" w:cs="Times New Roman CYR"/>
          <w:sz w:val="28"/>
          <w:szCs w:val="28"/>
        </w:rPr>
        <w:t xml:space="preserve"> под управлением фонда, присоединяемого к рассматриваемому. Величина </w:t>
      </w:r>
      <w:r>
        <w:rPr>
          <w:rFonts w:ascii="Times New Roman CYR" w:hAnsi="Times New Roman CYR" w:cs="Times New Roman CYR"/>
          <w:i/>
          <w:iCs/>
          <w:sz w:val="28"/>
          <w:szCs w:val="28"/>
          <w:lang w:val="en-US"/>
        </w:rPr>
        <w:t>x</w:t>
      </w:r>
      <w:r>
        <w:rPr>
          <w:rFonts w:ascii="Times New Roman CYR" w:hAnsi="Times New Roman CYR" w:cs="Times New Roman CYR"/>
          <w:sz w:val="28"/>
          <w:szCs w:val="28"/>
        </w:rPr>
        <w:t xml:space="preserve"> отражает наличие сделки слияния и определяется следующим образом:</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174615" cy="311785"/>
            <wp:effectExtent l="19050" t="0" r="698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5174615" cy="31178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Для вычисления избыточной доходности фонды были поделены на 2 условные категории по своему типу: фонды категории акций и индексные были отнесены в группу 1, а фонда категории облигаций, денежного рынка и смешанных инвестиций были</w:t>
      </w:r>
      <w:r>
        <w:rPr>
          <w:rFonts w:ascii="Times New Roman CYR" w:hAnsi="Times New Roman CYR" w:cs="Times New Roman CYR"/>
          <w:sz w:val="28"/>
          <w:szCs w:val="28"/>
        </w:rPr>
        <w:t xml:space="preserve"> отнесены в группу 2. Избыточная доходность вычислялась по формуле:</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1316355" cy="22098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srcRect/>
                    <a:stretch>
                      <a:fillRect/>
                    </a:stretch>
                  </pic:blipFill>
                  <pic:spPr bwMode="auto">
                    <a:xfrm>
                      <a:off x="0" y="0"/>
                      <a:ext cx="1316355" cy="22098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301625" cy="220980"/>
            <wp:effectExtent l="19050" t="0" r="317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srcRect/>
                    <a:stretch>
                      <a:fillRect/>
                    </a:stretch>
                  </pic:blipFill>
                  <pic:spPr bwMode="auto">
                    <a:xfrm>
                      <a:off x="0" y="0"/>
                      <a:ext cx="301625" cy="22098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01625" cy="220980"/>
            <wp:effectExtent l="19050" t="0" r="317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srcRect/>
                    <a:stretch>
                      <a:fillRect/>
                    </a:stretch>
                  </pic:blipFill>
                  <pic:spPr bwMode="auto">
                    <a:xfrm>
                      <a:off x="0" y="0"/>
                      <a:ext cx="301625" cy="22098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период </w:t>
      </w:r>
      <w:r>
        <w:rPr>
          <w:rFonts w:ascii="Times New Roman CYR" w:hAnsi="Times New Roman CYR" w:cs="Times New Roman CYR"/>
          <w:sz w:val="28"/>
          <w:szCs w:val="28"/>
          <w:lang w:val="en-US"/>
        </w:rPr>
        <w:t>t</w:t>
      </w:r>
      <w:r>
        <w:rPr>
          <w:rFonts w:ascii="Times New Roman CYR" w:hAnsi="Times New Roman CYR" w:cs="Times New Roman CYR"/>
          <w:sz w:val="28"/>
          <w:szCs w:val="28"/>
        </w:rPr>
        <w:t xml:space="preserve">, а </w:t>
      </w:r>
      <w:r w:rsidR="003549B8">
        <w:rPr>
          <w:rFonts w:ascii="Microsoft Sans Serif" w:hAnsi="Microsoft Sans Serif" w:cs="Microsoft Sans Serif"/>
          <w:noProof/>
          <w:sz w:val="17"/>
          <w:szCs w:val="17"/>
        </w:rPr>
        <w:drawing>
          <wp:inline distT="0" distB="0" distL="0" distR="0">
            <wp:extent cx="472440" cy="180975"/>
            <wp:effectExtent l="19050" t="0" r="381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srcRect/>
                    <a:stretch>
                      <a:fillRect/>
                    </a:stretch>
                  </pic:blipFill>
                  <pic:spPr bwMode="auto">
                    <a:xfrm>
                      <a:off x="0" y="0"/>
                      <a:ext cx="47244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72440" cy="180975"/>
            <wp:effectExtent l="19050" t="0" r="381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srcRect/>
                    <a:stretch>
                      <a:fillRect/>
                    </a:stretch>
                  </pic:blipFill>
                  <pic:spPr bwMode="auto">
                    <a:xfrm>
                      <a:off x="0" y="0"/>
                      <a:ext cx="47244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доходность бенчмарка, определяемая следующим образом:</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3747770" cy="351790"/>
            <wp:effectExtent l="19050" t="0" r="508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srcRect/>
                    <a:stretch>
                      <a:fillRect/>
                    </a:stretch>
                  </pic:blipFill>
                  <pic:spPr bwMode="auto">
                    <a:xfrm>
                      <a:off x="0" y="0"/>
                      <a:ext cx="3747770" cy="35179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Таким образом, фондам категории 1 в качестве бенчмарка приписывалась доходность индекса М</w:t>
      </w:r>
      <w:r>
        <w:rPr>
          <w:rFonts w:ascii="Times New Roman CYR" w:hAnsi="Times New Roman CYR" w:cs="Times New Roman CYR"/>
          <w:sz w:val="28"/>
          <w:szCs w:val="28"/>
        </w:rPr>
        <w:t xml:space="preserve">МВБ, в то время как фондам категории 2 приписывалась доходность индекса корпоративных облигаций </w:t>
      </w:r>
      <w:r>
        <w:rPr>
          <w:rFonts w:ascii="Times New Roman CYR" w:hAnsi="Times New Roman CYR" w:cs="Times New Roman CYR"/>
          <w:sz w:val="28"/>
          <w:szCs w:val="28"/>
          <w:lang w:val="en-US"/>
        </w:rPr>
        <w:t>Cbonds</w:t>
      </w:r>
      <w:r>
        <w:rPr>
          <w:rFonts w:ascii="Times New Roman CYR" w:hAnsi="Times New Roman CYR" w:cs="Times New Roman CYR"/>
          <w:sz w:val="28"/>
          <w:szCs w:val="28"/>
        </w:rPr>
        <w:t>.</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Описательная статистика выборки представлена в таблице 1. Как видно из таблицы, большую часть выборки составляют приобретаемые фонды: их 49 из 100. Это </w:t>
      </w:r>
      <w:r>
        <w:rPr>
          <w:rFonts w:ascii="Times New Roman CYR" w:hAnsi="Times New Roman CYR" w:cs="Times New Roman CYR"/>
          <w:sz w:val="28"/>
          <w:szCs w:val="28"/>
        </w:rPr>
        <w:t>происходит потому, что некоторые фонды-поглотители присоединяют к себе больше, чем один фонд. Всего было рассмотрено 49 сделок слияния - Для более подробного описания фондов, вошедших в выборку, см. Приложение.</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235"/>
        <w:gridCol w:w="818"/>
        <w:gridCol w:w="1221"/>
        <w:gridCol w:w="1356"/>
        <w:gridCol w:w="1220"/>
        <w:gridCol w:w="1220"/>
      </w:tblGrid>
      <w:tr w:rsidR="00000000">
        <w:tblPrEx>
          <w:tblCellMar>
            <w:top w:w="0" w:type="dxa"/>
            <w:bottom w:w="0" w:type="dxa"/>
          </w:tblCellMar>
        </w:tblPrEx>
        <w:tc>
          <w:tcPr>
            <w:tcW w:w="9070"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1. Описание выборки (Ежемесячные данны</w:t>
            </w:r>
            <w:r>
              <w:rPr>
                <w:rFonts w:ascii="Times New Roman CYR" w:hAnsi="Times New Roman CYR" w:cs="Times New Roman CYR"/>
                <w:sz w:val="20"/>
                <w:szCs w:val="20"/>
              </w:rPr>
              <w:t>е).</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Все</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Фонды-поглотители</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Поглощаемые фонды</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Группа 1 (акций)</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Группа 2 (облигаций)</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Количество фондов</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83 </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34</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49</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52</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Количество наблюдений</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216</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768</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448</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985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231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размер СЧА, млн. руб.</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378</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519</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265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410</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доходность</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0.62%</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0.83%</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0.68%</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избыточная доходность</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0.03%</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0.16%</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-0.07%</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0.18%</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-0.24%</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приток средств</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-1.08%</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-0.62%</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-0.92%</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-1.37%</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комиссия за управление</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2.73%</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2.71%</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2.82%</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2.57%</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При подробном рассмо</w:t>
      </w:r>
      <w:r>
        <w:rPr>
          <w:rFonts w:ascii="Times New Roman CYR" w:hAnsi="Times New Roman CYR" w:cs="Times New Roman CYR"/>
          <w:sz w:val="28"/>
          <w:szCs w:val="28"/>
        </w:rPr>
        <w:t>трении описательной статистики в таблице 1 можно заметить, что в среднем для фондов-поглотителей характерен более высокий размер (их СЧА почти в 2 раза выше аналогичного показателя для поглощаемых фондов), более высокие средняя доходность и средняя избыточ</w:t>
      </w:r>
      <w:r>
        <w:rPr>
          <w:rFonts w:ascii="Times New Roman CYR" w:hAnsi="Times New Roman CYR" w:cs="Times New Roman CYR"/>
          <w:sz w:val="28"/>
          <w:szCs w:val="28"/>
        </w:rPr>
        <w:t>ная доходность, а также меньший отток средств. В целом, как можно заметить, по всем фондам в выборке за рассматриваемый период наблюдается отток средств, что может быть связано с общим оттоком средств из отрасли, как показано в главе 1.</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Мотивы к слиянию</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w:t>
      </w:r>
      <w:r>
        <w:rPr>
          <w:rFonts w:ascii="Times New Roman CYR" w:hAnsi="Times New Roman CYR" w:cs="Times New Roman CYR"/>
          <w:sz w:val="28"/>
          <w:szCs w:val="28"/>
        </w:rPr>
        <w:t>к было рассмотрено в Главе 1, существуют три основных мотива к слиянию фондов: плохая доходность поглощаемого фонда, низкий приток средств в поглощаемый фонд, и желание получить эффект масштаба и снизить общие издержки управления. Таким образом, можно сфор</w:t>
      </w:r>
      <w:r>
        <w:rPr>
          <w:rFonts w:ascii="Times New Roman CYR" w:hAnsi="Times New Roman CYR" w:cs="Times New Roman CYR"/>
          <w:sz w:val="28"/>
          <w:szCs w:val="28"/>
        </w:rPr>
        <w:t>мировать три гипотезы: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w:t>
      </w:r>
      <w:r>
        <w:rPr>
          <w:rFonts w:ascii="Times New Roman CYR" w:hAnsi="Times New Roman CYR" w:cs="Times New Roman CYR"/>
          <w:sz w:val="28"/>
          <w:szCs w:val="28"/>
        </w:rPr>
        <w:t xml:space="preserve"> У поглощаемых фондов до поглощения наблюдается более низкая избыточная доходность, чем у поглощающих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2.</w:t>
      </w:r>
      <w:r>
        <w:rPr>
          <w:rFonts w:ascii="Times New Roman CYR" w:hAnsi="Times New Roman CYR" w:cs="Times New Roman CYR"/>
          <w:sz w:val="28"/>
          <w:szCs w:val="28"/>
        </w:rPr>
        <w:t xml:space="preserve"> У поглощаемых фондов до поглощения наблюдается более низкий приток (более высокий отток) средств, че</w:t>
      </w:r>
      <w:r>
        <w:rPr>
          <w:rFonts w:ascii="Times New Roman CYR" w:hAnsi="Times New Roman CYR" w:cs="Times New Roman CYR"/>
          <w:sz w:val="28"/>
          <w:szCs w:val="28"/>
        </w:rPr>
        <w:t>м у поглощающих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3.</w:t>
      </w:r>
      <w:r>
        <w:rPr>
          <w:rFonts w:ascii="Times New Roman CYR" w:hAnsi="Times New Roman CYR" w:cs="Times New Roman CYR"/>
          <w:sz w:val="28"/>
          <w:szCs w:val="28"/>
        </w:rPr>
        <w:t xml:space="preserve"> У поглощаемых фондов до поглощения наблюдается более высокий уровень общих издержек (в процентах от СЧА), чем у поглощающих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того, чтобы протестировать эти гипотезы, были рассчитаны средние показатели доходност</w:t>
      </w:r>
      <w:r>
        <w:rPr>
          <w:rFonts w:ascii="Times New Roman CYR" w:hAnsi="Times New Roman CYR" w:cs="Times New Roman CYR"/>
          <w:sz w:val="28"/>
          <w:szCs w:val="28"/>
        </w:rPr>
        <w:t>и и притока средств по каждому из фондов за 3, 6, 9 и 12 месяцев до даты слияния. Далее эти показатели были усреднены по подвыборкам фондов-поглотителей и поглощаемых фондов, с целью их сравнения. В таблице 2 представлены результаты проверки гипотезы о бол</w:t>
      </w:r>
      <w:r>
        <w:rPr>
          <w:rFonts w:ascii="Times New Roman CYR" w:hAnsi="Times New Roman CYR" w:cs="Times New Roman CYR"/>
          <w:sz w:val="28"/>
          <w:szCs w:val="28"/>
        </w:rPr>
        <w:t xml:space="preserve">ее плохой доходности поглощаемых фондов до даты слияния. Можно заметить, что избыточная доходность как поглотителей, так и поглощающих </w:t>
      </w:r>
      <w:r>
        <w:rPr>
          <w:rFonts w:ascii="Times New Roman CYR" w:hAnsi="Times New Roman CYR" w:cs="Times New Roman CYR"/>
          <w:sz w:val="28"/>
          <w:szCs w:val="28"/>
        </w:rPr>
        <w:lastRenderedPageBreak/>
        <w:t>положительная, что не сходится с результатами Джярамана, который показывает, что фонды, участвующие в слиянии, тяготеют к</w:t>
      </w:r>
      <w:r>
        <w:rPr>
          <w:rFonts w:ascii="Times New Roman CYR" w:hAnsi="Times New Roman CYR" w:cs="Times New Roman CYR"/>
          <w:sz w:val="28"/>
          <w:szCs w:val="28"/>
        </w:rPr>
        <w:t xml:space="preserve"> отрицательной доходности до сделки</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Для удобства восприятия поглощаемые фонды отмечены буквой "Т" (от английского термина "</w:t>
      </w:r>
      <w:r>
        <w:rPr>
          <w:rFonts w:ascii="Times New Roman CYR" w:hAnsi="Times New Roman CYR" w:cs="Times New Roman CYR"/>
          <w:sz w:val="28"/>
          <w:szCs w:val="28"/>
          <w:lang w:val="en-US"/>
        </w:rPr>
        <w:t>target</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fund</w:t>
      </w:r>
      <w:r>
        <w:rPr>
          <w:rFonts w:ascii="Times New Roman CYR" w:hAnsi="Times New Roman CYR" w:cs="Times New Roman CYR"/>
          <w:sz w:val="28"/>
          <w:szCs w:val="28"/>
        </w:rPr>
        <w:t>"), а фонды-поглотители отмечены буквой "А" (от термина "</w:t>
      </w:r>
      <w:r>
        <w:rPr>
          <w:rFonts w:ascii="Times New Roman CYR" w:hAnsi="Times New Roman CYR" w:cs="Times New Roman CYR"/>
          <w:sz w:val="28"/>
          <w:szCs w:val="28"/>
          <w:lang w:val="en-US"/>
        </w:rPr>
        <w:t>acquirer</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2729"/>
        <w:gridCol w:w="790"/>
        <w:gridCol w:w="790"/>
        <w:gridCol w:w="791"/>
        <w:gridCol w:w="791"/>
        <w:gridCol w:w="791"/>
        <w:gridCol w:w="791"/>
        <w:gridCol w:w="806"/>
        <w:gridCol w:w="791"/>
      </w:tblGrid>
      <w:tr w:rsidR="00000000">
        <w:tblPrEx>
          <w:tblCellMar>
            <w:top w:w="0" w:type="dxa"/>
            <w:bottom w:w="0" w:type="dxa"/>
          </w:tblCellMar>
        </w:tblPrEx>
        <w:tc>
          <w:tcPr>
            <w:tcW w:w="9070" w:type="dxa"/>
            <w:gridSpan w:val="9"/>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2. Тестирование гип</w:t>
            </w:r>
            <w:r>
              <w:rPr>
                <w:rFonts w:ascii="Times New Roman CYR" w:hAnsi="Times New Roman CYR" w:cs="Times New Roman CYR"/>
                <w:sz w:val="20"/>
                <w:szCs w:val="20"/>
              </w:rPr>
              <w:t>отезы о худших показателях доходности у поглощаемых фондов, по сравнению с поглощающими фондами.</w:t>
            </w:r>
          </w:p>
        </w:tc>
      </w:tr>
      <w:tr w:rsidR="00000000">
        <w:tblPrEx>
          <w:tblCellMar>
            <w:top w:w="0" w:type="dxa"/>
            <w:bottom w:w="0" w:type="dxa"/>
          </w:tblCellMar>
        </w:tblPrEx>
        <w:tc>
          <w:tcPr>
            <w:tcW w:w="272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158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 Месяца</w:t>
            </w:r>
          </w:p>
        </w:tc>
        <w:tc>
          <w:tcPr>
            <w:tcW w:w="15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 Месяцев</w:t>
            </w:r>
          </w:p>
        </w:tc>
        <w:tc>
          <w:tcPr>
            <w:tcW w:w="15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 Месяцев</w:t>
            </w:r>
          </w:p>
        </w:tc>
        <w:tc>
          <w:tcPr>
            <w:tcW w:w="159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 Месяцев</w:t>
            </w:r>
          </w:p>
        </w:tc>
      </w:tr>
      <w:tr w:rsidR="00000000">
        <w:tblPrEx>
          <w:tblCellMar>
            <w:top w:w="0" w:type="dxa"/>
            <w:bottom w:w="0" w:type="dxa"/>
          </w:tblCellMar>
        </w:tblPrEx>
        <w:tc>
          <w:tcPr>
            <w:tcW w:w="272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79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79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8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r>
      <w:tr w:rsidR="00000000">
        <w:tblPrEx>
          <w:tblCellMar>
            <w:top w:w="0" w:type="dxa"/>
            <w:bottom w:w="0" w:type="dxa"/>
          </w:tblCellMar>
        </w:tblPrEx>
        <w:tc>
          <w:tcPr>
            <w:tcW w:w="272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избыточная доходность</w:t>
            </w:r>
          </w:p>
        </w:tc>
        <w:tc>
          <w:tcPr>
            <w:tcW w:w="79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0.42%</w:t>
            </w:r>
          </w:p>
        </w:tc>
        <w:tc>
          <w:tcPr>
            <w:tcW w:w="79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0.56%</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0.53%</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0.69%</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0.49%</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0.48%</w:t>
            </w:r>
          </w:p>
        </w:tc>
        <w:tc>
          <w:tcPr>
            <w:tcW w:w="8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0.36%</w:t>
            </w:r>
          </w:p>
        </w:tc>
        <w:tc>
          <w:tcPr>
            <w:tcW w:w="7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0.40%</w:t>
            </w:r>
          </w:p>
        </w:tc>
      </w:tr>
      <w:tr w:rsidR="00000000">
        <w:tblPrEx>
          <w:tblCellMar>
            <w:top w:w="0" w:type="dxa"/>
            <w:bottom w:w="0" w:type="dxa"/>
          </w:tblCellMar>
        </w:tblPrEx>
        <w:tc>
          <w:tcPr>
            <w:tcW w:w="272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P-значение Теста </w:t>
            </w:r>
            <w:r>
              <w:rPr>
                <w:rFonts w:ascii="Times New Roman CYR" w:hAnsi="Times New Roman CYR" w:cs="Times New Roman CYR"/>
                <w:sz w:val="20"/>
                <w:szCs w:val="20"/>
              </w:rPr>
              <w:t>Стьюдента</w:t>
            </w:r>
          </w:p>
        </w:tc>
        <w:tc>
          <w:tcPr>
            <w:tcW w:w="158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38.82%</w:t>
            </w:r>
          </w:p>
        </w:tc>
        <w:tc>
          <w:tcPr>
            <w:tcW w:w="15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29.20%</w:t>
            </w:r>
          </w:p>
        </w:tc>
        <w:tc>
          <w:tcPr>
            <w:tcW w:w="15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49.47%</w:t>
            </w:r>
          </w:p>
        </w:tc>
        <w:tc>
          <w:tcPr>
            <w:tcW w:w="159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40.77%</w:t>
            </w:r>
          </w:p>
        </w:tc>
      </w:tr>
      <w:tr w:rsidR="00000000">
        <w:tblPrEx>
          <w:tblCellMar>
            <w:top w:w="0" w:type="dxa"/>
            <w:bottom w:w="0" w:type="dxa"/>
          </w:tblCellMar>
        </w:tblPrEx>
        <w:tc>
          <w:tcPr>
            <w:tcW w:w="9070" w:type="dxa"/>
            <w:gridSpan w:val="9"/>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 на основании данных НЛУ (</w:t>
            </w:r>
            <w:r>
              <w:rPr>
                <w:rFonts w:ascii="Times New Roman CYR" w:hAnsi="Times New Roman CYR" w:cs="Times New Roman CYR"/>
                <w:sz w:val="20"/>
                <w:szCs w:val="20"/>
                <w:lang w:val="en-US"/>
              </w:rPr>
              <w:t>www</w:t>
            </w:r>
            <w:r>
              <w:rPr>
                <w:rFonts w:ascii="Times New Roman CYR" w:hAnsi="Times New Roman CYR" w:cs="Times New Roman CYR"/>
                <w:sz w:val="20"/>
                <w:szCs w:val="20"/>
              </w:rPr>
              <w:t>.</w:t>
            </w:r>
            <w:r>
              <w:rPr>
                <w:rFonts w:ascii="Times New Roman CYR" w:hAnsi="Times New Roman CYR" w:cs="Times New Roman CYR"/>
                <w:sz w:val="20"/>
                <w:szCs w:val="20"/>
                <w:lang w:val="en-US"/>
              </w:rPr>
              <w:t>nlu</w:t>
            </w:r>
            <w:r>
              <w:rPr>
                <w:rFonts w:ascii="Times New Roman CYR" w:hAnsi="Times New Roman CYR" w:cs="Times New Roman CYR"/>
                <w:sz w:val="20"/>
                <w:szCs w:val="20"/>
              </w:rPr>
              <w:t>.</w:t>
            </w:r>
            <w:r>
              <w:rPr>
                <w:rFonts w:ascii="Times New Roman CYR" w:hAnsi="Times New Roman CYR" w:cs="Times New Roman CYR"/>
                <w:sz w:val="20"/>
                <w:szCs w:val="20"/>
                <w:lang w:val="en-US"/>
              </w:rPr>
              <w:t>ru</w:t>
            </w:r>
            <w:r>
              <w:rPr>
                <w:rFonts w:ascii="Times New Roman CYR" w:hAnsi="Times New Roman CYR" w:cs="Times New Roman CYR"/>
                <w:sz w:val="20"/>
                <w:szCs w:val="20"/>
              </w:rPr>
              <w:t>)</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таблицы 2 видно, что </w:t>
      </w:r>
      <w:r>
        <w:rPr>
          <w:rFonts w:ascii="Times New Roman CYR" w:hAnsi="Times New Roman CYR" w:cs="Times New Roman CYR"/>
          <w:sz w:val="28"/>
          <w:szCs w:val="28"/>
          <w:lang w:val="en-US"/>
        </w:rPr>
        <w:t>p</w:t>
      </w:r>
      <w:r>
        <w:rPr>
          <w:rFonts w:ascii="Times New Roman CYR" w:hAnsi="Times New Roman CYR" w:cs="Times New Roman CYR"/>
          <w:sz w:val="28"/>
          <w:szCs w:val="28"/>
        </w:rPr>
        <w:t>-значение одностороннего теста Стьюдента на всех временных промежутков очень велико, что означает, что гипотеза о равенстве мате</w:t>
      </w:r>
      <w:r>
        <w:rPr>
          <w:rFonts w:ascii="Times New Roman CYR" w:hAnsi="Times New Roman CYR" w:cs="Times New Roman CYR"/>
          <w:sz w:val="28"/>
          <w:szCs w:val="28"/>
        </w:rPr>
        <w:t>матических ожиданий не отвергается. Исходя из этого, нельзя сделать вывод о том, что поглощаемые фонды показывали худшую доходность по сравнению с фондами-поглотителями в течение года, предшествующего слиянию. Результаты аналогичны и для более длинного про</w:t>
      </w:r>
      <w:r>
        <w:rPr>
          <w:rFonts w:ascii="Times New Roman CYR" w:hAnsi="Times New Roman CYR" w:cs="Times New Roman CYR"/>
          <w:sz w:val="28"/>
          <w:szCs w:val="28"/>
        </w:rPr>
        <w:t>межутка времени в 15 и 18 месяцев. Гипотеза 1 не подтверждается.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таблице 3 представлены результаты схожего теста, проведенного для показателя притока средств.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2510"/>
        <w:gridCol w:w="820"/>
        <w:gridCol w:w="820"/>
        <w:gridCol w:w="820"/>
        <w:gridCol w:w="820"/>
        <w:gridCol w:w="820"/>
        <w:gridCol w:w="820"/>
        <w:gridCol w:w="820"/>
        <w:gridCol w:w="820"/>
      </w:tblGrid>
      <w:tr w:rsidR="00000000">
        <w:tblPrEx>
          <w:tblCellMar>
            <w:top w:w="0" w:type="dxa"/>
            <w:bottom w:w="0" w:type="dxa"/>
          </w:tblCellMar>
        </w:tblPrEx>
        <w:tc>
          <w:tcPr>
            <w:tcW w:w="9070" w:type="dxa"/>
            <w:gridSpan w:val="9"/>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3. Тестирование гипотезы о худших показателях притока средств у поглощаемых фондов, по с</w:t>
            </w:r>
            <w:r>
              <w:rPr>
                <w:rFonts w:ascii="Times New Roman CYR" w:hAnsi="Times New Roman CYR" w:cs="Times New Roman CYR"/>
                <w:sz w:val="20"/>
                <w:szCs w:val="20"/>
              </w:rPr>
              <w:t>равнению с поглощающими фондами.</w:t>
            </w:r>
          </w:p>
        </w:tc>
      </w:tr>
      <w:tr w:rsidR="00000000">
        <w:tblPrEx>
          <w:tblCellMar>
            <w:top w:w="0" w:type="dxa"/>
            <w:bottom w:w="0" w:type="dxa"/>
          </w:tblCellMar>
        </w:tblPrEx>
        <w:tc>
          <w:tcPr>
            <w:tcW w:w="251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 Месяца</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 Месяцев</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 Месяцев</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 Месяцев</w:t>
            </w:r>
          </w:p>
        </w:tc>
      </w:tr>
      <w:tr w:rsidR="00000000">
        <w:tblPrEx>
          <w:tblCellMar>
            <w:top w:w="0" w:type="dxa"/>
            <w:bottom w:w="0" w:type="dxa"/>
          </w:tblCellMar>
        </w:tblPrEx>
        <w:tc>
          <w:tcPr>
            <w:tcW w:w="251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r>
      <w:tr w:rsidR="00000000">
        <w:tblPrEx>
          <w:tblCellMar>
            <w:top w:w="0" w:type="dxa"/>
            <w:bottom w:w="0" w:type="dxa"/>
          </w:tblCellMar>
        </w:tblPrEx>
        <w:tc>
          <w:tcPr>
            <w:tcW w:w="251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приток средств</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-1.37%</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-1.82%</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-0.22%</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-2.12%</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0.02%</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-2.44%</w:t>
            </w:r>
          </w:p>
        </w:tc>
        <w:tc>
          <w:tcPr>
            <w:tcW w:w="8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-1.02%</w:t>
            </w:r>
          </w:p>
        </w:tc>
      </w:tr>
      <w:tr w:rsidR="00000000">
        <w:tblPrEx>
          <w:tblCellMar>
            <w:top w:w="0" w:type="dxa"/>
            <w:bottom w:w="0" w:type="dxa"/>
          </w:tblCellMar>
        </w:tblPrEx>
        <w:tc>
          <w:tcPr>
            <w:tcW w:w="251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47.47%</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2.27%</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0.04%</w:t>
            </w:r>
          </w:p>
        </w:tc>
        <w:tc>
          <w:tcPr>
            <w:tcW w:w="164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0.08%</w:t>
            </w:r>
          </w:p>
        </w:tc>
      </w:tr>
      <w:tr w:rsidR="00000000">
        <w:tblPrEx>
          <w:tblCellMar>
            <w:top w:w="0" w:type="dxa"/>
            <w:bottom w:w="0" w:type="dxa"/>
          </w:tblCellMar>
        </w:tblPrEx>
        <w:tc>
          <w:tcPr>
            <w:tcW w:w="9070" w:type="dxa"/>
            <w:gridSpan w:val="9"/>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Источник: расчеты автора на </w:t>
            </w:r>
            <w:r>
              <w:rPr>
                <w:rFonts w:ascii="Times New Roman CYR" w:hAnsi="Times New Roman CYR" w:cs="Times New Roman CYR"/>
                <w:sz w:val="20"/>
                <w:szCs w:val="20"/>
              </w:rPr>
              <w:t>основании данных НЛУ (</w:t>
            </w:r>
            <w:r>
              <w:rPr>
                <w:rFonts w:ascii="Times New Roman CYR" w:hAnsi="Times New Roman CYR" w:cs="Times New Roman CYR"/>
                <w:sz w:val="20"/>
                <w:szCs w:val="20"/>
                <w:lang w:val="en-US"/>
              </w:rPr>
              <w:t>www</w:t>
            </w:r>
            <w:r>
              <w:rPr>
                <w:rFonts w:ascii="Times New Roman CYR" w:hAnsi="Times New Roman CYR" w:cs="Times New Roman CYR"/>
                <w:sz w:val="20"/>
                <w:szCs w:val="20"/>
              </w:rPr>
              <w:t>.</w:t>
            </w:r>
            <w:r>
              <w:rPr>
                <w:rFonts w:ascii="Times New Roman CYR" w:hAnsi="Times New Roman CYR" w:cs="Times New Roman CYR"/>
                <w:sz w:val="20"/>
                <w:szCs w:val="20"/>
                <w:lang w:val="en-US"/>
              </w:rPr>
              <w:t>nlu</w:t>
            </w:r>
            <w:r>
              <w:rPr>
                <w:rFonts w:ascii="Times New Roman CYR" w:hAnsi="Times New Roman CYR" w:cs="Times New Roman CYR"/>
                <w:sz w:val="20"/>
                <w:szCs w:val="20"/>
              </w:rPr>
              <w:t>.</w:t>
            </w:r>
            <w:r>
              <w:rPr>
                <w:rFonts w:ascii="Times New Roman CYR" w:hAnsi="Times New Roman CYR" w:cs="Times New Roman CYR"/>
                <w:sz w:val="20"/>
                <w:szCs w:val="20"/>
                <w:lang w:val="en-US"/>
              </w:rPr>
              <w:t>ru</w:t>
            </w:r>
            <w:r>
              <w:rPr>
                <w:rFonts w:ascii="Times New Roman CYR" w:hAnsi="Times New Roman CYR" w:cs="Times New Roman CYR"/>
                <w:sz w:val="20"/>
                <w:szCs w:val="20"/>
              </w:rPr>
              <w:t>)</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этого теста показывают, что подвыборки поглощаемых фондов и фондов-поглотителей имеют разные средние значения притока </w:t>
      </w:r>
      <w:r>
        <w:rPr>
          <w:rFonts w:ascii="Times New Roman CYR" w:hAnsi="Times New Roman CYR" w:cs="Times New Roman CYR"/>
          <w:sz w:val="28"/>
          <w:szCs w:val="28"/>
        </w:rPr>
        <w:lastRenderedPageBreak/>
        <w:t xml:space="preserve">инвесторов в фонд на промежутках в 6, 9 и 12 месяцев. </w:t>
      </w:r>
      <w:r>
        <w:rPr>
          <w:rFonts w:ascii="Times New Roman CYR" w:hAnsi="Times New Roman CYR" w:cs="Times New Roman CYR"/>
          <w:sz w:val="28"/>
          <w:szCs w:val="28"/>
          <w:lang w:val="en-US"/>
        </w:rPr>
        <w:t>P</w:t>
      </w:r>
      <w:r>
        <w:rPr>
          <w:rFonts w:ascii="Times New Roman CYR" w:hAnsi="Times New Roman CYR" w:cs="Times New Roman CYR"/>
          <w:sz w:val="28"/>
          <w:szCs w:val="28"/>
        </w:rPr>
        <w:t>-значение одностороннего теста Стьюд</w:t>
      </w:r>
      <w:r>
        <w:rPr>
          <w:rFonts w:ascii="Times New Roman CYR" w:hAnsi="Times New Roman CYR" w:cs="Times New Roman CYR"/>
          <w:sz w:val="28"/>
          <w:szCs w:val="28"/>
        </w:rPr>
        <w:t>ента маленькое, что позволяет отвергнуть гипотезу о равенстве математических ожиданий притока средств в поглощаемые фонды и фонды-поглотители на 3% уровне значимости для промежутка времени в 6 месяцев до даты слияния и на 1% уровне значимости для 9 и 12 ме</w:t>
      </w:r>
      <w:r>
        <w:rPr>
          <w:rFonts w:ascii="Times New Roman CYR" w:hAnsi="Times New Roman CYR" w:cs="Times New Roman CYR"/>
          <w:sz w:val="28"/>
          <w:szCs w:val="28"/>
        </w:rPr>
        <w:t>сяцев до даты слияния. Результаты аналогичны для промежутка в 15 месяцев, но на промежутке в 18 месяцев гипотезу о равенстве математических ожиданий отвергнуть нельзя. Гипотеза 2 подтверждается на промежутках от 6 до 15 месяцев.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можно сделат</w:t>
      </w:r>
      <w:r>
        <w:rPr>
          <w:rFonts w:ascii="Times New Roman CYR" w:hAnsi="Times New Roman CYR" w:cs="Times New Roman CYR"/>
          <w:sz w:val="28"/>
          <w:szCs w:val="28"/>
        </w:rPr>
        <w:t>ь вывод о том, что при ликвидации фонда путем слияния его с другим, управляющие компании ориентируются на интерес к фонду со стороны инвесторов и избавляются от менее привлекательных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 сожалению, для проверки гипотезы о мотиве экономии на масштабе </w:t>
      </w:r>
      <w:r>
        <w:rPr>
          <w:rFonts w:ascii="Times New Roman CYR" w:hAnsi="Times New Roman CYR" w:cs="Times New Roman CYR"/>
          <w:sz w:val="28"/>
          <w:szCs w:val="28"/>
        </w:rPr>
        <w:t>нельзя прибегнуть к такому же способу: данные об издержках фонда публикуются в отчетности компаний, которая не выходит так часто. Благодаря этому, можно проверить гипотезу о влиянии издержек поглощаемого фонда на принятие решения о слиянии на промежутках в</w:t>
      </w:r>
      <w:r>
        <w:rPr>
          <w:rFonts w:ascii="Times New Roman CYR" w:hAnsi="Times New Roman CYR" w:cs="Times New Roman CYR"/>
          <w:sz w:val="28"/>
          <w:szCs w:val="28"/>
        </w:rPr>
        <w:t>ремени с интервалом в 1 год. В таблице 4 представлены результаты проверки этой гипотезы на интервалах в 1 год до слияния и 2 года до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4902"/>
        <w:gridCol w:w="1016"/>
        <w:gridCol w:w="1072"/>
        <w:gridCol w:w="1016"/>
        <w:gridCol w:w="1066"/>
      </w:tblGrid>
      <w:tr w:rsidR="00000000">
        <w:tblPrEx>
          <w:tblCellMar>
            <w:top w:w="0" w:type="dxa"/>
            <w:bottom w:w="0" w:type="dxa"/>
          </w:tblCellMar>
        </w:tblPrEx>
        <w:tc>
          <w:tcPr>
            <w:tcW w:w="9072"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4. Проверка гипотезы о больших издержках у поглощаемых фондов, по сравнению с поглощающими фондами.</w:t>
            </w:r>
          </w:p>
        </w:tc>
      </w:tr>
      <w:tr w:rsidR="00000000">
        <w:tblPrEx>
          <w:tblCellMar>
            <w:top w:w="0" w:type="dxa"/>
            <w:bottom w:w="0" w:type="dxa"/>
          </w:tblCellMar>
        </w:tblPrEx>
        <w:tc>
          <w:tcPr>
            <w:tcW w:w="49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2088"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 Го</w:t>
            </w:r>
            <w:r>
              <w:rPr>
                <w:rFonts w:ascii="Times New Roman CYR" w:hAnsi="Times New Roman CYR" w:cs="Times New Roman CYR"/>
                <w:sz w:val="20"/>
                <w:szCs w:val="20"/>
              </w:rPr>
              <w:t>д</w:t>
            </w:r>
          </w:p>
        </w:tc>
        <w:tc>
          <w:tcPr>
            <w:tcW w:w="20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 Года</w:t>
            </w:r>
          </w:p>
        </w:tc>
      </w:tr>
      <w:tr w:rsidR="00000000">
        <w:tblPrEx>
          <w:tblCellMar>
            <w:top w:w="0" w:type="dxa"/>
            <w:bottom w:w="0" w:type="dxa"/>
          </w:tblCellMar>
        </w:tblPrEx>
        <w:tc>
          <w:tcPr>
            <w:tcW w:w="49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101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107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c>
          <w:tcPr>
            <w:tcW w:w="101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T</w:t>
            </w:r>
          </w:p>
        </w:tc>
        <w:tc>
          <w:tcPr>
            <w:tcW w:w="106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w:t>
            </w:r>
          </w:p>
        </w:tc>
      </w:tr>
      <w:tr w:rsidR="00000000">
        <w:tblPrEx>
          <w:tblCellMar>
            <w:top w:w="0" w:type="dxa"/>
            <w:bottom w:w="0" w:type="dxa"/>
          </w:tblCellMar>
        </w:tblPrEx>
        <w:tc>
          <w:tcPr>
            <w:tcW w:w="49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Средние</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общие издержки</w:t>
            </w:r>
          </w:p>
        </w:tc>
        <w:tc>
          <w:tcPr>
            <w:tcW w:w="101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3.66%</w:t>
            </w:r>
          </w:p>
        </w:tc>
        <w:tc>
          <w:tcPr>
            <w:tcW w:w="107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3.48%</w:t>
            </w:r>
          </w:p>
        </w:tc>
        <w:tc>
          <w:tcPr>
            <w:tcW w:w="101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3.62%</w:t>
            </w:r>
          </w:p>
        </w:tc>
        <w:tc>
          <w:tcPr>
            <w:tcW w:w="106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3.52%</w:t>
            </w:r>
          </w:p>
        </w:tc>
      </w:tr>
      <w:tr w:rsidR="00000000">
        <w:tblPrEx>
          <w:tblCellMar>
            <w:top w:w="0" w:type="dxa"/>
            <w:bottom w:w="0" w:type="dxa"/>
          </w:tblCellMar>
        </w:tblPrEx>
        <w:tc>
          <w:tcPr>
            <w:tcW w:w="49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2088"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12.79%</w:t>
            </w:r>
          </w:p>
        </w:tc>
        <w:tc>
          <w:tcPr>
            <w:tcW w:w="2082"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21.14%</w:t>
            </w:r>
          </w:p>
        </w:tc>
      </w:tr>
      <w:tr w:rsidR="00000000">
        <w:tblPrEx>
          <w:tblCellMar>
            <w:top w:w="0" w:type="dxa"/>
            <w:bottom w:w="0" w:type="dxa"/>
          </w:tblCellMar>
        </w:tblPrEx>
        <w:tc>
          <w:tcPr>
            <w:tcW w:w="9072"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 на основании данных отчетности УК</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основании высокого </w:t>
      </w:r>
      <w:r>
        <w:rPr>
          <w:rFonts w:ascii="Times New Roman CYR" w:hAnsi="Times New Roman CYR" w:cs="Times New Roman CYR"/>
          <w:sz w:val="28"/>
          <w:szCs w:val="28"/>
          <w:lang w:val="en-US"/>
        </w:rPr>
        <w:t>P</w:t>
      </w:r>
      <w:r>
        <w:rPr>
          <w:rFonts w:ascii="Times New Roman CYR" w:hAnsi="Times New Roman CYR" w:cs="Times New Roman CYR"/>
          <w:sz w:val="28"/>
          <w:szCs w:val="28"/>
        </w:rPr>
        <w:t>-значения для одностороннего теста Стьюдента нельзя сделать в</w:t>
      </w:r>
      <w:r>
        <w:rPr>
          <w:rFonts w:ascii="Times New Roman CYR" w:hAnsi="Times New Roman CYR" w:cs="Times New Roman CYR"/>
          <w:sz w:val="28"/>
          <w:szCs w:val="28"/>
        </w:rPr>
        <w:t xml:space="preserve">ывод о неравенстве средних издержек по подвыборкам </w:t>
      </w:r>
      <w:r>
        <w:rPr>
          <w:rFonts w:ascii="Times New Roman CYR" w:hAnsi="Times New Roman CYR" w:cs="Times New Roman CYR"/>
          <w:sz w:val="28"/>
          <w:szCs w:val="28"/>
        </w:rPr>
        <w:lastRenderedPageBreak/>
        <w:t>поглощаемым и поглощающим фондам, и гипотеза 3 не находит своего подтверждения.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на основании проведенных тестов можно предполагать, что управляющие компании при принятии решения о слиянии ор</w:t>
      </w:r>
      <w:r>
        <w:rPr>
          <w:rFonts w:ascii="Times New Roman CYR" w:hAnsi="Times New Roman CYR" w:cs="Times New Roman CYR"/>
          <w:sz w:val="28"/>
          <w:szCs w:val="28"/>
        </w:rPr>
        <w:t>иентируются на показатели притока инвесторов, а значит, скорее всего желают улучшить этот показатель в среднем, оставляя более привлекательные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2.1 Результаты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 учетом того, что при проведении слияния управляющие компании пытались добиться </w:t>
      </w:r>
      <w:r>
        <w:rPr>
          <w:rFonts w:ascii="Times New Roman CYR" w:hAnsi="Times New Roman CYR" w:cs="Times New Roman CYR"/>
          <w:sz w:val="28"/>
          <w:szCs w:val="28"/>
        </w:rPr>
        <w:t>притока инвесторов, как было показано в предыдущем параграфе, представляется интересным проверить, насколько успешным оказалась эта попытка, а также, на сколько повлияло данное событие на другие показатели фонда. К сожалению, мы не можем рассмотреть влияни</w:t>
      </w:r>
      <w:r>
        <w:rPr>
          <w:rFonts w:ascii="Times New Roman CYR" w:hAnsi="Times New Roman CYR" w:cs="Times New Roman CYR"/>
          <w:sz w:val="28"/>
          <w:szCs w:val="28"/>
        </w:rPr>
        <w:t>е совершения сделки слияния на издержки фонда, поскольку многие фонды совершили такие сделки в 2015 году и по ним еще нет данных об издержках даже через год после слияния. Поэтому, будем рассматривать влияние слияния на избыточную доходность фонда и на при</w:t>
      </w:r>
      <w:r>
        <w:rPr>
          <w:rFonts w:ascii="Times New Roman CYR" w:hAnsi="Times New Roman CYR" w:cs="Times New Roman CYR"/>
          <w:sz w:val="28"/>
          <w:szCs w:val="28"/>
        </w:rPr>
        <w:t>ток инвесторов, а именно будем тестировать следующие гипотезы: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4.</w:t>
      </w:r>
      <w:r>
        <w:rPr>
          <w:rFonts w:ascii="Times New Roman CYR" w:hAnsi="Times New Roman CYR" w:cs="Times New Roman CYR"/>
          <w:sz w:val="28"/>
          <w:szCs w:val="28"/>
        </w:rPr>
        <w:t xml:space="preserve"> Поглощаемые и поглощающие фонды увеличивают показатели избыточной доходности после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5.</w:t>
      </w:r>
      <w:r>
        <w:rPr>
          <w:rFonts w:ascii="Times New Roman CYR" w:hAnsi="Times New Roman CYR" w:cs="Times New Roman CYR"/>
          <w:sz w:val="28"/>
          <w:szCs w:val="28"/>
        </w:rPr>
        <w:t xml:space="preserve"> Поглощаемые и поглощающие фонды испытывают больший приток инвесторов после сл</w:t>
      </w:r>
      <w:r>
        <w:rPr>
          <w:rFonts w:ascii="Times New Roman CYR" w:hAnsi="Times New Roman CYR" w:cs="Times New Roman CYR"/>
          <w:sz w:val="28"/>
          <w:szCs w:val="28"/>
        </w:rPr>
        <w:t>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Традиционно в литературе сравниваются показатели до слияния с показателями после слияния для двух подвыборок фондов: поглощающих и поглощаемых. В таблице 5 представлены результаты исследования изменения средней избыточной доходности как для поглощае</w:t>
      </w:r>
      <w:r>
        <w:rPr>
          <w:rFonts w:ascii="Times New Roman CYR" w:hAnsi="Times New Roman CYR" w:cs="Times New Roman CYR"/>
          <w:sz w:val="28"/>
          <w:szCs w:val="28"/>
        </w:rPr>
        <w:t>мых, так и для поглощающих фондов.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Для этой цели по каждому фонду были рассчитаны средняя избыточная доходность за 3 (6, 9) месяцев до и за 3 (6, 9) месяцев после слияния и далее эти средние значения были усреднены по всей подвыборке. Здесь нужно отметить </w:t>
      </w:r>
      <w:r>
        <w:rPr>
          <w:rFonts w:ascii="Times New Roman CYR" w:hAnsi="Times New Roman CYR" w:cs="Times New Roman CYR"/>
          <w:sz w:val="28"/>
          <w:szCs w:val="28"/>
        </w:rPr>
        <w:t>об одном важном отличии классических исследования о слиянии и поглощении компаний и исследований о слиянии и поглощении фондов. При слиянии двух публичных компаний поглощаемая компания не перестает существовать и, соответственно, ее акции тоже. Таким образ</w:t>
      </w:r>
      <w:r>
        <w:rPr>
          <w:rFonts w:ascii="Times New Roman CYR" w:hAnsi="Times New Roman CYR" w:cs="Times New Roman CYR"/>
          <w:sz w:val="28"/>
          <w:szCs w:val="28"/>
        </w:rPr>
        <w:t>ом, действительно можно сравнить поведение акций поглощаемой компании до и после самого поглощения. Однако, это не подходит к случаю фондов: поглощаемый фонд перестает существовать после поглощения и по нему нельзя наблюдать отдельной доходности или отдель</w:t>
      </w:r>
      <w:r>
        <w:rPr>
          <w:rFonts w:ascii="Times New Roman CYR" w:hAnsi="Times New Roman CYR" w:cs="Times New Roman CYR"/>
          <w:sz w:val="28"/>
          <w:szCs w:val="28"/>
        </w:rPr>
        <w:t>ного притока инвесторов. Поэтому, в литературе по данной тематике используется единственный возможный выход из данной ситуации: поглощаемым фондам, как и поглощающим, после даты поглощения присваивается статистика нового объединенного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405"/>
        <w:gridCol w:w="883"/>
        <w:gridCol w:w="884"/>
        <w:gridCol w:w="884"/>
        <w:gridCol w:w="913"/>
        <w:gridCol w:w="442"/>
        <w:gridCol w:w="448"/>
        <w:gridCol w:w="455"/>
        <w:gridCol w:w="758"/>
      </w:tblGrid>
      <w:tr w:rsidR="00000000">
        <w:tblPrEx>
          <w:tblCellMar>
            <w:top w:w="0" w:type="dxa"/>
            <w:bottom w:w="0" w:type="dxa"/>
          </w:tblCellMar>
        </w:tblPrEx>
        <w:tc>
          <w:tcPr>
            <w:tcW w:w="9072" w:type="dxa"/>
            <w:gridSpan w:val="9"/>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5. Влия</w:t>
            </w:r>
            <w:r>
              <w:rPr>
                <w:rFonts w:ascii="Times New Roman CYR" w:hAnsi="Times New Roman CYR" w:cs="Times New Roman CYR"/>
                <w:sz w:val="20"/>
                <w:szCs w:val="20"/>
              </w:rPr>
              <w:t>ние слияния на показатели избыточной доходности поглощаемых и поглощающих фондов.</w:t>
            </w: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8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3М-</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3М+</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6М-</w:t>
            </w:r>
          </w:p>
        </w:tc>
        <w:tc>
          <w:tcPr>
            <w:tcW w:w="91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6М+</w:t>
            </w:r>
          </w:p>
        </w:tc>
        <w:tc>
          <w:tcPr>
            <w:tcW w:w="89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9М-</w:t>
            </w:r>
          </w:p>
        </w:tc>
        <w:tc>
          <w:tcPr>
            <w:tcW w:w="1213"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9М+</w:t>
            </w: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избыточная доходность поглощаемых фондов</w:t>
            </w:r>
          </w:p>
        </w:tc>
        <w:tc>
          <w:tcPr>
            <w:tcW w:w="88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0.42%</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2.20%</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0.53%</w:t>
            </w:r>
          </w:p>
        </w:tc>
        <w:tc>
          <w:tcPr>
            <w:tcW w:w="91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1.20%</w:t>
            </w:r>
          </w:p>
        </w:tc>
        <w:tc>
          <w:tcPr>
            <w:tcW w:w="89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0.49%</w:t>
            </w:r>
          </w:p>
        </w:tc>
        <w:tc>
          <w:tcPr>
            <w:tcW w:w="1213"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0.76%</w:t>
            </w: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176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0.18%</w:t>
            </w:r>
          </w:p>
        </w:tc>
        <w:tc>
          <w:tcPr>
            <w:tcW w:w="179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5.13%</w:t>
            </w:r>
          </w:p>
        </w:tc>
        <w:tc>
          <w:tcPr>
            <w:tcW w:w="2103" w:type="dxa"/>
            <w:gridSpan w:val="4"/>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6.80%</w:t>
            </w: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8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91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13"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w:t>
            </w:r>
            <w:r>
              <w:rPr>
                <w:rFonts w:ascii="Times New Roman CYR" w:hAnsi="Times New Roman CYR" w:cs="Times New Roman CYR"/>
                <w:sz w:val="20"/>
                <w:szCs w:val="20"/>
              </w:rPr>
              <w:t xml:space="preserve"> избыточная доходность поглощающих фондов</w:t>
            </w:r>
          </w:p>
        </w:tc>
        <w:tc>
          <w:tcPr>
            <w:tcW w:w="88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0.56%</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2.20%</w:t>
            </w:r>
          </w:p>
        </w:tc>
        <w:tc>
          <w:tcPr>
            <w:tcW w:w="88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0.69%</w:t>
            </w:r>
          </w:p>
        </w:tc>
        <w:tc>
          <w:tcPr>
            <w:tcW w:w="91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1.20%</w:t>
            </w:r>
          </w:p>
        </w:tc>
        <w:tc>
          <w:tcPr>
            <w:tcW w:w="89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0.48%</w:t>
            </w:r>
          </w:p>
        </w:tc>
        <w:tc>
          <w:tcPr>
            <w:tcW w:w="1213"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0.76%</w:t>
            </w:r>
          </w:p>
        </w:tc>
      </w:tr>
      <w:tr w:rsidR="00000000">
        <w:tblPrEx>
          <w:tblCellMar>
            <w:top w:w="0" w:type="dxa"/>
            <w:bottom w:w="0" w:type="dxa"/>
          </w:tblCellMar>
        </w:tblPrEx>
        <w:tc>
          <w:tcPr>
            <w:tcW w:w="34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176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0.11%</w:t>
            </w:r>
          </w:p>
        </w:tc>
        <w:tc>
          <w:tcPr>
            <w:tcW w:w="1797"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8.54%</w:t>
            </w:r>
          </w:p>
        </w:tc>
        <w:tc>
          <w:tcPr>
            <w:tcW w:w="2103" w:type="dxa"/>
            <w:gridSpan w:val="4"/>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3.81%</w:t>
            </w:r>
          </w:p>
        </w:tc>
      </w:tr>
      <w:tr w:rsidR="00000000">
        <w:tblPrEx>
          <w:tblCellMar>
            <w:top w:w="0" w:type="dxa"/>
            <w:bottom w:w="0" w:type="dxa"/>
          </w:tblCellMar>
        </w:tblPrEx>
        <w:tc>
          <w:tcPr>
            <w:tcW w:w="7411"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 на основании данных НЛУ (www.nlu.ru)</w:t>
            </w:r>
          </w:p>
        </w:tc>
        <w:tc>
          <w:tcPr>
            <w:tcW w:w="903"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таблицы 5 можно заметить, что гипотеза об увеличении избыточно</w:t>
      </w:r>
      <w:r>
        <w:rPr>
          <w:rFonts w:ascii="Times New Roman CYR" w:hAnsi="Times New Roman CYR" w:cs="Times New Roman CYR"/>
          <w:sz w:val="28"/>
          <w:szCs w:val="28"/>
        </w:rPr>
        <w:t>й доходности после поглощения фондов подтверждается для обеих подвыборок фондов на всех горизонтах на 10% уровне значимости, а, например, для 3 месяцев, даже на 1% уровне значимости.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этого можно сделать вывод о том, что оба фонда, как поглощающий, так и</w:t>
      </w:r>
      <w:r>
        <w:rPr>
          <w:rFonts w:ascii="Times New Roman CYR" w:hAnsi="Times New Roman CYR" w:cs="Times New Roman CYR"/>
          <w:sz w:val="28"/>
          <w:szCs w:val="28"/>
        </w:rPr>
        <w:t xml:space="preserve"> поглощаемый, выигрывают от сделки слияния и показывают более </w:t>
      </w:r>
      <w:r>
        <w:rPr>
          <w:rFonts w:ascii="Times New Roman CYR" w:hAnsi="Times New Roman CYR" w:cs="Times New Roman CYR"/>
          <w:sz w:val="28"/>
          <w:szCs w:val="28"/>
        </w:rPr>
        <w:lastRenderedPageBreak/>
        <w:t>хорошие результаты доходности после него, гипотеза 4 подтверждается.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следует с осторожностью относиться к результатам этого теста относительно подвыборки поглощаемых фондов, помня о том,</w:t>
      </w:r>
      <w:r>
        <w:rPr>
          <w:rFonts w:ascii="Times New Roman CYR" w:hAnsi="Times New Roman CYR" w:cs="Times New Roman CYR"/>
          <w:sz w:val="28"/>
          <w:szCs w:val="28"/>
        </w:rPr>
        <w:t xml:space="preserve"> что это не сравнение динамики пая фонда до и после события, а сравнение динамики пая одного фонда до события и другого - после. Данные результаты можно считать абсолютно верными только в случае предположения о том, что поглощаемый фонд "встраивается" в ин</w:t>
      </w:r>
      <w:r>
        <w:rPr>
          <w:rFonts w:ascii="Times New Roman CYR" w:hAnsi="Times New Roman CYR" w:cs="Times New Roman CYR"/>
          <w:sz w:val="28"/>
          <w:szCs w:val="28"/>
        </w:rPr>
        <w:t>вестиционную стратегию поглощающего фонда, и становится его частью без существенных изменений в инвестиционных идеях. И хотя можно считать, что хотя бы часть активов поглощенного фонда останется неизменными, предположение об абсолютной неизменности являетс</w:t>
      </w:r>
      <w:r>
        <w:rPr>
          <w:rFonts w:ascii="Times New Roman CYR" w:hAnsi="Times New Roman CYR" w:cs="Times New Roman CYR"/>
          <w:sz w:val="28"/>
          <w:szCs w:val="28"/>
        </w:rPr>
        <w:t>я не очень реалистичным.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таблице 6 показаны результаты тестирования гипотезы относительно изменений в притоке средств. Первое, на что нужно обратить внимание - это на то, что средние показатели притока средств по обеим подвыборкам фондов </w:t>
      </w:r>
      <w:r>
        <w:rPr>
          <w:rFonts w:ascii="Times New Roman CYR" w:hAnsi="Times New Roman CYR" w:cs="Times New Roman CYR"/>
          <w:i/>
          <w:iCs/>
          <w:sz w:val="28"/>
          <w:szCs w:val="28"/>
        </w:rPr>
        <w:t>меньше</w:t>
      </w:r>
      <w:r>
        <w:rPr>
          <w:rFonts w:ascii="Times New Roman CYR" w:hAnsi="Times New Roman CYR" w:cs="Times New Roman CYR"/>
          <w:sz w:val="28"/>
          <w:szCs w:val="28"/>
        </w:rPr>
        <w:t xml:space="preserve"> после сли</w:t>
      </w:r>
      <w:r>
        <w:rPr>
          <w:rFonts w:ascii="Times New Roman CYR" w:hAnsi="Times New Roman CYR" w:cs="Times New Roman CYR"/>
          <w:sz w:val="28"/>
          <w:szCs w:val="28"/>
        </w:rPr>
        <w:t>яния. Это означает, что гипотеза 5 точно опровергается: в ней говорится об обратной зависимости. Однако нужно проверить, подтверждается ли статистически то, что после слияния фонды испытывают меньший приток средств (а в нашем случае - больший отток). С уче</w:t>
      </w:r>
      <w:r>
        <w:rPr>
          <w:rFonts w:ascii="Times New Roman CYR" w:hAnsi="Times New Roman CYR" w:cs="Times New Roman CYR"/>
          <w:sz w:val="28"/>
          <w:szCs w:val="28"/>
        </w:rPr>
        <w:t>том этого нужно переформулировать гипотезу: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5.1.</w:t>
      </w:r>
      <w:r>
        <w:rPr>
          <w:rFonts w:ascii="Times New Roman CYR" w:hAnsi="Times New Roman CYR" w:cs="Times New Roman CYR"/>
          <w:sz w:val="28"/>
          <w:szCs w:val="28"/>
        </w:rPr>
        <w:t xml:space="preserve"> Поглощаемые и поглощающие фонды испытывают </w:t>
      </w:r>
      <w:r>
        <w:rPr>
          <w:rFonts w:ascii="Times New Roman CYR" w:hAnsi="Times New Roman CYR" w:cs="Times New Roman CYR"/>
          <w:i/>
          <w:iCs/>
          <w:sz w:val="28"/>
          <w:szCs w:val="28"/>
        </w:rPr>
        <w:t>меньший</w:t>
      </w:r>
      <w:r>
        <w:rPr>
          <w:rFonts w:ascii="Times New Roman CYR" w:hAnsi="Times New Roman CYR" w:cs="Times New Roman CYR"/>
          <w:sz w:val="28"/>
          <w:szCs w:val="28"/>
        </w:rPr>
        <w:t xml:space="preserve"> приток инвесторов после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004"/>
        <w:gridCol w:w="898"/>
        <w:gridCol w:w="898"/>
        <w:gridCol w:w="898"/>
        <w:gridCol w:w="898"/>
        <w:gridCol w:w="761"/>
        <w:gridCol w:w="139"/>
        <w:gridCol w:w="752"/>
        <w:gridCol w:w="824"/>
      </w:tblGrid>
      <w:tr w:rsidR="00000000">
        <w:tblPrEx>
          <w:tblCellMar>
            <w:top w:w="0" w:type="dxa"/>
            <w:bottom w:w="0" w:type="dxa"/>
          </w:tblCellMar>
        </w:tblPrEx>
        <w:tc>
          <w:tcPr>
            <w:tcW w:w="7357"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6. Влияние слияния на показатели притока средств в поглощаемые и поглощающие фонды</w:t>
            </w:r>
          </w:p>
        </w:tc>
        <w:tc>
          <w:tcPr>
            <w:tcW w:w="891"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2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3М-</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3М+</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6М-</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6М+</w:t>
            </w:r>
          </w:p>
        </w:tc>
        <w:tc>
          <w:tcPr>
            <w:tcW w:w="90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9М-</w:t>
            </w:r>
          </w:p>
        </w:tc>
        <w:tc>
          <w:tcPr>
            <w:tcW w:w="157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9М+</w:t>
            </w: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приток средств поглощаемых фондов</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-3.29%</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-1.82%</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-2.57%</w:t>
            </w:r>
          </w:p>
        </w:tc>
        <w:tc>
          <w:tcPr>
            <w:tcW w:w="90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-2.12%</w:t>
            </w:r>
          </w:p>
        </w:tc>
        <w:tc>
          <w:tcPr>
            <w:tcW w:w="157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-2.02%</w:t>
            </w: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179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1.08%</w:t>
            </w:r>
          </w:p>
        </w:tc>
        <w:tc>
          <w:tcPr>
            <w:tcW w:w="179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14.63%</w:t>
            </w:r>
          </w:p>
        </w:tc>
        <w:tc>
          <w:tcPr>
            <w:tcW w:w="2476" w:type="dxa"/>
            <w:gridSpan w:val="4"/>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42.39%</w:t>
            </w: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57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приток средств поглощающих фондов</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-1.37%</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-3.29%</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-0.22%</w:t>
            </w:r>
          </w:p>
        </w:tc>
        <w:tc>
          <w:tcPr>
            <w:tcW w:w="89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-2.57%</w:t>
            </w:r>
          </w:p>
        </w:tc>
        <w:tc>
          <w:tcPr>
            <w:tcW w:w="900"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0.02%</w:t>
            </w:r>
          </w:p>
        </w:tc>
        <w:tc>
          <w:tcPr>
            <w:tcW w:w="157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-2.02%</w:t>
            </w:r>
          </w:p>
        </w:tc>
      </w:tr>
      <w:tr w:rsidR="00000000">
        <w:tblPrEx>
          <w:tblCellMar>
            <w:top w:w="0" w:type="dxa"/>
            <w:bottom w:w="0" w:type="dxa"/>
          </w:tblCellMar>
        </w:tblPrEx>
        <w:tc>
          <w:tcPr>
            <w:tcW w:w="300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P-значение Теста Стьюдента</w:t>
            </w:r>
          </w:p>
        </w:tc>
        <w:tc>
          <w:tcPr>
            <w:tcW w:w="179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0.16%</w:t>
            </w:r>
          </w:p>
        </w:tc>
        <w:tc>
          <w:tcPr>
            <w:tcW w:w="1796"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0.36%</w:t>
            </w:r>
          </w:p>
        </w:tc>
        <w:tc>
          <w:tcPr>
            <w:tcW w:w="2476" w:type="dxa"/>
            <w:gridSpan w:val="4"/>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0.12%</w:t>
            </w:r>
          </w:p>
        </w:tc>
      </w:tr>
      <w:tr w:rsidR="00000000">
        <w:tblPrEx>
          <w:tblCellMar>
            <w:top w:w="0" w:type="dxa"/>
            <w:bottom w:w="0" w:type="dxa"/>
          </w:tblCellMar>
        </w:tblPrEx>
        <w:tc>
          <w:tcPr>
            <w:tcW w:w="7357"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 на основании данных НЛУ (www.nlu.ru)</w:t>
            </w:r>
          </w:p>
        </w:tc>
        <w:tc>
          <w:tcPr>
            <w:tcW w:w="891" w:type="dxa"/>
            <w:gridSpan w:val="2"/>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82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видно из таблицы 6, гипотеза 5.1 подтверждается частично: для поглощающих фондов она верна на 1% уровне значимости для всех периодов, а для поглощаемых она верна толь</w:t>
      </w:r>
      <w:r>
        <w:rPr>
          <w:rFonts w:ascii="Times New Roman CYR" w:hAnsi="Times New Roman CYR" w:cs="Times New Roman CYR"/>
          <w:sz w:val="28"/>
          <w:szCs w:val="28"/>
        </w:rPr>
        <w:t>ко на периоде в 3 месяца.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То, что для поглощаемых фондов гипотеза не подтверждается, следует из подтверждения гипотезы 2: у поглощаемых фондов до слияния приток средств был значительно меньше, чем у поглощающих. Таким образом, можно сделать вывод о том, чт</w:t>
      </w:r>
      <w:r>
        <w:rPr>
          <w:rFonts w:ascii="Times New Roman CYR" w:hAnsi="Times New Roman CYR" w:cs="Times New Roman CYR"/>
          <w:sz w:val="28"/>
          <w:szCs w:val="28"/>
        </w:rPr>
        <w:t>о желание управляющих компаний поднять степень инвестиционной привлекательности поглощаемого фонда до уровня поглощающего фонда не оправдалось. Более того, все произошло наоборот: приток инвесторов в объединенном фонде снизился настолько, что стал статисти</w:t>
      </w:r>
      <w:r>
        <w:rPr>
          <w:rFonts w:ascii="Times New Roman CYR" w:hAnsi="Times New Roman CYR" w:cs="Times New Roman CYR"/>
          <w:sz w:val="28"/>
          <w:szCs w:val="28"/>
        </w:rPr>
        <w:t>чески неотличим от притока инвесторов в поглощенный фонд до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Данная зависимость вызывает определенное удивление, с учетом подтверждения гипотезы 4 об увеличении доходности фондов после слияния. Это поднимает вопрос относительно рациональности повед</w:t>
      </w:r>
      <w:r>
        <w:rPr>
          <w:rFonts w:ascii="Times New Roman CYR" w:hAnsi="Times New Roman CYR" w:cs="Times New Roman CYR"/>
          <w:sz w:val="28"/>
          <w:szCs w:val="28"/>
        </w:rPr>
        <w:t>ения российских инвесторов: доходность фондов после объединения выросла, а инвесторы продолжают уходить с новой силой.</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Выводы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российском рынке паевых инвестиционных фондов наблюдается определенная зависимость между показателями доходности и притока сре</w:t>
      </w:r>
      <w:r>
        <w:rPr>
          <w:rFonts w:ascii="Times New Roman CYR" w:hAnsi="Times New Roman CYR" w:cs="Times New Roman CYR"/>
          <w:sz w:val="28"/>
          <w:szCs w:val="28"/>
        </w:rPr>
        <w:t>дств для поглощающих и поглощаемых фондов. Поглощаемые фонды в среднем показывают худшие результаты доходности, хотя этот фактор нельзя считать определяющим при решении о слиянии, так как на периоде в 12 месяцев до даты слияния различия в избыточной доходн</w:t>
      </w:r>
      <w:r>
        <w:rPr>
          <w:rFonts w:ascii="Times New Roman CYR" w:hAnsi="Times New Roman CYR" w:cs="Times New Roman CYR"/>
          <w:sz w:val="28"/>
          <w:szCs w:val="28"/>
        </w:rPr>
        <w:t>ости поглощающих и поглощаемых фондов незначимо.</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Напротив, теория о мотиве к сделке слияния, заключающемся в притоке </w:t>
      </w:r>
      <w:r>
        <w:rPr>
          <w:rFonts w:ascii="Times New Roman CYR" w:hAnsi="Times New Roman CYR" w:cs="Times New Roman CYR"/>
          <w:sz w:val="28"/>
          <w:szCs w:val="28"/>
        </w:rPr>
        <w:lastRenderedPageBreak/>
        <w:t>средств, подтверждается, так как поглощаемые фонды показывают существенно более низкий приток средств как в среднем по выборке, так и в теч</w:t>
      </w:r>
      <w:r>
        <w:rPr>
          <w:rFonts w:ascii="Times New Roman CYR" w:hAnsi="Times New Roman CYR" w:cs="Times New Roman CYR"/>
          <w:sz w:val="28"/>
          <w:szCs w:val="28"/>
        </w:rPr>
        <w:t>ение 12 месяцев перед слиянием.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результате межсемейных слияний на рынке ПИФов в России, доходности как поглощаемых, так и поглощающих фондов вырастают: эффект прослеживается на промежутке времени от 3 до 9 месяцев после даты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по всей види</w:t>
      </w:r>
      <w:r>
        <w:rPr>
          <w:rFonts w:ascii="Times New Roman CYR" w:hAnsi="Times New Roman CYR" w:cs="Times New Roman CYR"/>
          <w:sz w:val="28"/>
          <w:szCs w:val="28"/>
        </w:rPr>
        <w:t>мости, российских инвесторов реорганизация фондов пугает больше, чем привлекают возросшие доходы: после слияния притоки средств в фонды заметно снизились.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Глава 3. Многофакторный анализ</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выявления влияния различных факторов на избыточную доходность и </w:t>
      </w:r>
      <w:r>
        <w:rPr>
          <w:rFonts w:ascii="Times New Roman CYR" w:hAnsi="Times New Roman CYR" w:cs="Times New Roman CYR"/>
          <w:sz w:val="28"/>
          <w:szCs w:val="28"/>
        </w:rPr>
        <w:t>приток средств в фонды использовалась линейная регрессионная модель на базе модели, использованной Джаяраманом, Кораной и Неллингом, которые предложили использовать дамми-переменные, показывающие факт наличия сделки слияния в прошлом. В данном анализе испо</w:t>
      </w:r>
      <w:r>
        <w:rPr>
          <w:rFonts w:ascii="Times New Roman CYR" w:hAnsi="Times New Roman CYR" w:cs="Times New Roman CYR"/>
          <w:sz w:val="28"/>
          <w:szCs w:val="28"/>
        </w:rPr>
        <w:t>льзовались данные с интервалом в 1 год, для возможности включения фактора издержек фонда и фактора объема финансовых инвестиций в Российской Федерации (в качестве прокси-переменной, показывающей состояние российского финансового рынка). Описание выборки, и</w:t>
      </w:r>
      <w:r>
        <w:rPr>
          <w:rFonts w:ascii="Times New Roman CYR" w:hAnsi="Times New Roman CYR" w:cs="Times New Roman CYR"/>
          <w:sz w:val="28"/>
          <w:szCs w:val="28"/>
        </w:rPr>
        <w:t>спользуемой для многофакторного анализа приведено в таблице 7.</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235"/>
        <w:gridCol w:w="818"/>
        <w:gridCol w:w="1221"/>
        <w:gridCol w:w="1356"/>
        <w:gridCol w:w="1220"/>
        <w:gridCol w:w="1220"/>
      </w:tblGrid>
      <w:tr w:rsidR="00000000">
        <w:tblPrEx>
          <w:tblCellMar>
            <w:top w:w="0" w:type="dxa"/>
            <w:bottom w:w="0" w:type="dxa"/>
          </w:tblCellMar>
        </w:tblPrEx>
        <w:tc>
          <w:tcPr>
            <w:tcW w:w="9070"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7. Описание выборки (Годовые данные).</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Все</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Фонды-поглотители</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Поглощаемые фонды</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Группа 1 (акций)</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Группа 2 (облигаций)</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Количество фондов</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83 </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34</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49</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52</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Количество наблюдений</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591</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2</w:t>
            </w:r>
            <w:r>
              <w:rPr>
                <w:rFonts w:ascii="Times New Roman CYR" w:hAnsi="Times New Roman CYR" w:cs="Times New Roman CYR"/>
                <w:sz w:val="20"/>
                <w:szCs w:val="20"/>
                <w:lang w:val="en-US"/>
              </w:rPr>
              <w:t>66</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3</w:t>
            </w:r>
            <w:r>
              <w:rPr>
                <w:rFonts w:ascii="Times New Roman CYR" w:hAnsi="Times New Roman CYR" w:cs="Times New Roman CYR"/>
                <w:sz w:val="20"/>
                <w:szCs w:val="20"/>
                <w:lang w:val="en-US"/>
              </w:rPr>
              <w:t>25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38</w:t>
            </w:r>
            <w:r>
              <w:rPr>
                <w:rFonts w:ascii="Times New Roman CYR" w:hAnsi="Times New Roman CYR" w:cs="Times New Roman CYR"/>
                <w:sz w:val="20"/>
                <w:szCs w:val="20"/>
                <w:lang w:val="en-US"/>
              </w:rPr>
              <w:t>0</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r>
              <w:rPr>
                <w:rFonts w:ascii="Times New Roman CYR" w:hAnsi="Times New Roman CYR" w:cs="Times New Roman CYR"/>
                <w:sz w:val="20"/>
                <w:szCs w:val="20"/>
                <w:lang w:val="en-US"/>
              </w:rPr>
              <w:t>1</w:t>
            </w:r>
            <w:r>
              <w:rPr>
                <w:rFonts w:ascii="Times New Roman CYR" w:hAnsi="Times New Roman CYR" w:cs="Times New Roman CYR"/>
                <w:sz w:val="20"/>
                <w:szCs w:val="20"/>
              </w:rPr>
              <w:t>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размер СЧА, млн. руб.</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3</w:t>
            </w:r>
            <w:r>
              <w:rPr>
                <w:rFonts w:ascii="Times New Roman CYR" w:hAnsi="Times New Roman CYR" w:cs="Times New Roman CYR"/>
                <w:sz w:val="20"/>
                <w:szCs w:val="20"/>
                <w:lang w:val="en-US"/>
              </w:rPr>
              <w:t>94</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5</w:t>
            </w:r>
            <w:r>
              <w:rPr>
                <w:rFonts w:ascii="Times New Roman CYR" w:hAnsi="Times New Roman CYR" w:cs="Times New Roman CYR"/>
                <w:sz w:val="20"/>
                <w:szCs w:val="20"/>
                <w:lang w:val="en-US"/>
              </w:rPr>
              <w:t>56</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26</w:t>
            </w:r>
            <w:r>
              <w:rPr>
                <w:rFonts w:ascii="Times New Roman CYR" w:hAnsi="Times New Roman CYR" w:cs="Times New Roman CYR"/>
                <w:sz w:val="20"/>
                <w:szCs w:val="20"/>
                <w:lang w:val="en-US"/>
              </w:rPr>
              <w:t>2</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4</w:t>
            </w:r>
            <w:r>
              <w:rPr>
                <w:rFonts w:ascii="Times New Roman CYR" w:hAnsi="Times New Roman CYR" w:cs="Times New Roman CYR"/>
                <w:sz w:val="20"/>
                <w:szCs w:val="20"/>
                <w:lang w:val="en-US"/>
              </w:rPr>
              <w:t>25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3</w:t>
            </w:r>
            <w:r>
              <w:rPr>
                <w:rFonts w:ascii="Times New Roman CYR" w:hAnsi="Times New Roman CYR" w:cs="Times New Roman CYR"/>
                <w:sz w:val="20"/>
                <w:szCs w:val="20"/>
                <w:lang w:val="en-US"/>
              </w:rPr>
              <w:t>39</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доходность</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r>
              <w:rPr>
                <w:rFonts w:ascii="Times New Roman CYR" w:hAnsi="Times New Roman CYR" w:cs="Times New Roman CYR"/>
                <w:sz w:val="20"/>
                <w:szCs w:val="20"/>
                <w:lang w:val="en-US"/>
              </w:rPr>
              <w:t>88</w:t>
            </w:r>
            <w:r>
              <w:rPr>
                <w:rFonts w:ascii="Times New Roman CYR" w:hAnsi="Times New Roman CYR" w:cs="Times New Roman CYR"/>
                <w:sz w:val="20"/>
                <w:szCs w:val="20"/>
              </w:rPr>
              <w:t>%</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r>
              <w:rPr>
                <w:rFonts w:ascii="Times New Roman CYR" w:hAnsi="Times New Roman CYR" w:cs="Times New Roman CYR"/>
                <w:sz w:val="20"/>
                <w:szCs w:val="20"/>
                <w:lang w:val="en-US"/>
              </w:rPr>
              <w:t>49</w:t>
            </w:r>
            <w:r>
              <w:rPr>
                <w:rFonts w:ascii="Times New Roman CYR" w:hAnsi="Times New Roman CYR" w:cs="Times New Roman CYR"/>
                <w:sz w:val="20"/>
                <w:szCs w:val="20"/>
              </w:rPr>
              <w:t>%</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1</w:t>
            </w:r>
            <w:r>
              <w:rPr>
                <w:rFonts w:ascii="Times New Roman CYR" w:hAnsi="Times New Roman CYR" w:cs="Times New Roman CYR"/>
                <w:sz w:val="20"/>
                <w:szCs w:val="20"/>
              </w:rPr>
              <w:t>0.</w:t>
            </w:r>
            <w:r>
              <w:rPr>
                <w:rFonts w:ascii="Times New Roman CYR" w:hAnsi="Times New Roman CYR" w:cs="Times New Roman CYR"/>
                <w:sz w:val="20"/>
                <w:szCs w:val="20"/>
                <w:lang w:val="en-US"/>
              </w:rPr>
              <w:t>74</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14</w:t>
            </w:r>
            <w:r>
              <w:rPr>
                <w:rFonts w:ascii="Times New Roman CYR" w:hAnsi="Times New Roman CYR" w:cs="Times New Roman CYR"/>
                <w:sz w:val="20"/>
                <w:szCs w:val="20"/>
              </w:rPr>
              <w:t>.</w:t>
            </w:r>
            <w:r>
              <w:rPr>
                <w:rFonts w:ascii="Times New Roman CYR" w:hAnsi="Times New Roman CYR" w:cs="Times New Roman CYR"/>
                <w:sz w:val="20"/>
                <w:szCs w:val="20"/>
                <w:lang w:val="en-US"/>
              </w:rPr>
              <w:t>91</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9.</w:t>
            </w:r>
            <w:r>
              <w:rPr>
                <w:rFonts w:ascii="Times New Roman CYR" w:hAnsi="Times New Roman CYR" w:cs="Times New Roman CYR"/>
                <w:sz w:val="20"/>
                <w:szCs w:val="20"/>
                <w:lang w:val="en-US"/>
              </w:rPr>
              <w:t>2</w:t>
            </w:r>
            <w:r>
              <w:rPr>
                <w:rFonts w:ascii="Times New Roman CYR" w:hAnsi="Times New Roman CYR" w:cs="Times New Roman CYR"/>
                <w:sz w:val="20"/>
                <w:szCs w:val="20"/>
              </w:rPr>
              <w:t>1%</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избыточная доходность</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12</w:t>
            </w:r>
            <w:r>
              <w:rPr>
                <w:rFonts w:ascii="Times New Roman CYR" w:hAnsi="Times New Roman CYR" w:cs="Times New Roman CYR"/>
                <w:sz w:val="20"/>
                <w:szCs w:val="20"/>
              </w:rPr>
              <w:t>.0</w:t>
            </w:r>
            <w:r>
              <w:rPr>
                <w:rFonts w:ascii="Times New Roman CYR" w:hAnsi="Times New Roman CYR" w:cs="Times New Roman CYR"/>
                <w:sz w:val="20"/>
                <w:szCs w:val="20"/>
                <w:lang w:val="en-US"/>
              </w:rPr>
              <w:t>8</w:t>
            </w:r>
            <w:r>
              <w:rPr>
                <w:rFonts w:ascii="Times New Roman CYR" w:hAnsi="Times New Roman CYR" w:cs="Times New Roman CYR"/>
                <w:sz w:val="20"/>
                <w:szCs w:val="20"/>
              </w:rPr>
              <w:t>%</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r>
              <w:rPr>
                <w:rFonts w:ascii="Times New Roman CYR" w:hAnsi="Times New Roman CYR" w:cs="Times New Roman CYR"/>
                <w:sz w:val="20"/>
                <w:szCs w:val="20"/>
                <w:lang w:val="en-US"/>
              </w:rPr>
              <w:t>71</w:t>
            </w:r>
            <w:r>
              <w:rPr>
                <w:rFonts w:ascii="Times New Roman CYR" w:hAnsi="Times New Roman CYR" w:cs="Times New Roman CYR"/>
                <w:sz w:val="20"/>
                <w:szCs w:val="20"/>
              </w:rPr>
              <w:t>%</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9</w:t>
            </w:r>
            <w:r>
              <w:rPr>
                <w:rFonts w:ascii="Times New Roman CYR" w:hAnsi="Times New Roman CYR" w:cs="Times New Roman CYR"/>
                <w:sz w:val="20"/>
                <w:szCs w:val="20"/>
              </w:rPr>
              <w:t>.</w:t>
            </w:r>
            <w:r>
              <w:rPr>
                <w:rFonts w:ascii="Times New Roman CYR" w:hAnsi="Times New Roman CYR" w:cs="Times New Roman CYR"/>
                <w:sz w:val="20"/>
                <w:szCs w:val="20"/>
                <w:lang w:val="en-US"/>
              </w:rPr>
              <w:t>93</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r>
              <w:rPr>
                <w:rFonts w:ascii="Times New Roman CYR" w:hAnsi="Times New Roman CYR" w:cs="Times New Roman CYR"/>
                <w:sz w:val="20"/>
                <w:szCs w:val="20"/>
                <w:lang w:val="en-US"/>
              </w:rPr>
              <w:t>07</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8.</w:t>
            </w:r>
            <w:r>
              <w:rPr>
                <w:rFonts w:ascii="Times New Roman CYR" w:hAnsi="Times New Roman CYR" w:cs="Times New Roman CYR"/>
                <w:sz w:val="20"/>
                <w:szCs w:val="20"/>
                <w:lang w:val="en-US"/>
              </w:rPr>
              <w:t>68</w:t>
            </w:r>
            <w:r>
              <w:rPr>
                <w:rFonts w:ascii="Times New Roman CYR" w:hAnsi="Times New Roman CYR" w:cs="Times New Roman CYR"/>
                <w:sz w:val="20"/>
                <w:szCs w:val="20"/>
              </w:rPr>
              <w:t>%</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приток средств</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r>
              <w:rPr>
                <w:rFonts w:ascii="Times New Roman CYR" w:hAnsi="Times New Roman CYR" w:cs="Times New Roman CYR"/>
                <w:sz w:val="20"/>
                <w:szCs w:val="20"/>
                <w:lang w:val="en-US"/>
              </w:rPr>
              <w:t>58</w:t>
            </w:r>
            <w:r>
              <w:rPr>
                <w:rFonts w:ascii="Times New Roman CYR" w:hAnsi="Times New Roman CYR" w:cs="Times New Roman CYR"/>
                <w:sz w:val="20"/>
                <w:szCs w:val="20"/>
              </w:rPr>
              <w:t>%</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5</w:t>
            </w:r>
            <w:r>
              <w:rPr>
                <w:rFonts w:ascii="Times New Roman CYR" w:hAnsi="Times New Roman CYR" w:cs="Times New Roman CYR"/>
                <w:sz w:val="20"/>
                <w:szCs w:val="20"/>
              </w:rPr>
              <w:t>.</w:t>
            </w:r>
            <w:r>
              <w:rPr>
                <w:rFonts w:ascii="Times New Roman CYR" w:hAnsi="Times New Roman CYR" w:cs="Times New Roman CYR"/>
                <w:sz w:val="20"/>
                <w:szCs w:val="20"/>
                <w:lang w:val="en-US"/>
              </w:rPr>
              <w:t>55</w:t>
            </w:r>
            <w:r>
              <w:rPr>
                <w:rFonts w:ascii="Times New Roman CYR" w:hAnsi="Times New Roman CYR" w:cs="Times New Roman CYR"/>
                <w:sz w:val="20"/>
                <w:szCs w:val="20"/>
              </w:rPr>
              <w:t>%</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-7.4</w:t>
            </w:r>
            <w:r>
              <w:rPr>
                <w:rFonts w:ascii="Times New Roman CYR" w:hAnsi="Times New Roman CYR" w:cs="Times New Roman CYR"/>
                <w:sz w:val="20"/>
                <w:szCs w:val="20"/>
                <w:lang w:val="en-US"/>
              </w:rPr>
              <w:t>2</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w:t>
            </w:r>
            <w:r>
              <w:rPr>
                <w:rFonts w:ascii="Times New Roman CYR" w:hAnsi="Times New Roman CYR" w:cs="Times New Roman CYR"/>
                <w:sz w:val="20"/>
                <w:szCs w:val="20"/>
                <w:lang w:val="en-US"/>
              </w:rPr>
              <w:t>34</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r>
              <w:rPr>
                <w:rFonts w:ascii="Times New Roman CYR" w:hAnsi="Times New Roman CYR" w:cs="Times New Roman CYR"/>
                <w:sz w:val="20"/>
                <w:szCs w:val="20"/>
                <w:lang w:val="en-US"/>
              </w:rPr>
              <w:t>3</w:t>
            </w:r>
            <w:r>
              <w:rPr>
                <w:rFonts w:ascii="Times New Roman CYR" w:hAnsi="Times New Roman CYR" w:cs="Times New Roman CYR"/>
                <w:sz w:val="20"/>
                <w:szCs w:val="20"/>
              </w:rPr>
              <w:t>.</w:t>
            </w:r>
            <w:r>
              <w:rPr>
                <w:rFonts w:ascii="Times New Roman CYR" w:hAnsi="Times New Roman CYR" w:cs="Times New Roman CYR"/>
                <w:sz w:val="20"/>
                <w:szCs w:val="20"/>
                <w:lang w:val="en-US"/>
              </w:rPr>
              <w:t>80</w:t>
            </w:r>
            <w:r>
              <w:rPr>
                <w:rFonts w:ascii="Times New Roman CYR" w:hAnsi="Times New Roman CYR" w:cs="Times New Roman CYR"/>
                <w:sz w:val="20"/>
                <w:szCs w:val="20"/>
              </w:rPr>
              <w:t>%</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Средняя комиссия</w:t>
            </w:r>
            <w:r>
              <w:rPr>
                <w:rFonts w:ascii="Times New Roman CYR" w:hAnsi="Times New Roman CYR" w:cs="Times New Roman CYR"/>
                <w:sz w:val="20"/>
                <w:szCs w:val="20"/>
              </w:rPr>
              <w:t xml:space="preserve"> за управление</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2.74%</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2.71%</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2.76%</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r>
              <w:rPr>
                <w:rFonts w:ascii="Times New Roman CYR" w:hAnsi="Times New Roman CYR" w:cs="Times New Roman CYR"/>
                <w:sz w:val="20"/>
                <w:szCs w:val="20"/>
                <w:lang w:val="en-US"/>
              </w:rPr>
              <w:t>3</w:t>
            </w:r>
            <w:r>
              <w:rPr>
                <w:rFonts w:ascii="Times New Roman CYR" w:hAnsi="Times New Roman CYR" w:cs="Times New Roman CYR"/>
                <w:sz w:val="20"/>
                <w:szCs w:val="20"/>
              </w:rPr>
              <w:t>%</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w:t>
            </w:r>
            <w:r>
              <w:rPr>
                <w:rFonts w:ascii="Times New Roman CYR" w:hAnsi="Times New Roman CYR" w:cs="Times New Roman CYR"/>
                <w:sz w:val="20"/>
                <w:szCs w:val="20"/>
                <w:lang w:val="en-US"/>
              </w:rPr>
              <w:t>8</w:t>
            </w:r>
            <w:r>
              <w:rPr>
                <w:rFonts w:ascii="Times New Roman CYR" w:hAnsi="Times New Roman CYR" w:cs="Times New Roman CYR"/>
                <w:sz w:val="20"/>
                <w:szCs w:val="20"/>
              </w:rPr>
              <w:t>%</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Средний размер общих расходов</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3.46%</w:t>
            </w: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3.41%</w:t>
            </w: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3.49%</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3.55%</w:t>
            </w: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3.29%</w:t>
            </w:r>
          </w:p>
        </w:tc>
      </w:tr>
      <w:tr w:rsidR="00000000">
        <w:tblPrEx>
          <w:tblCellMar>
            <w:top w:w="0" w:type="dxa"/>
            <w:bottom w:w="0" w:type="dxa"/>
          </w:tblCellMar>
        </w:tblPrEx>
        <w:tc>
          <w:tcPr>
            <w:tcW w:w="323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w:t>
            </w:r>
          </w:p>
        </w:tc>
        <w:tc>
          <w:tcPr>
            <w:tcW w:w="81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5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таблицы 7 видно, что при укрупнении выборки до годовых периодов основные зависимости сохраняются: положительная до</w:t>
      </w:r>
      <w:r>
        <w:rPr>
          <w:rFonts w:ascii="Times New Roman CYR" w:hAnsi="Times New Roman CYR" w:cs="Times New Roman CYR"/>
          <w:sz w:val="28"/>
          <w:szCs w:val="28"/>
        </w:rPr>
        <w:t>ходность и избыточная доходность по всей выборке, при этом большая доходность у поглощающих фондов, чем у поглотителей. Средний приток средств у поглощающих фондов остался положительным, а у поглощаемых - отрицательным.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.1 Факторы, влияющие на избыточную </w:t>
      </w:r>
      <w:r>
        <w:rPr>
          <w:rFonts w:ascii="Times New Roman CYR" w:hAnsi="Times New Roman CYR" w:cs="Times New Roman CYR"/>
          <w:b/>
          <w:bCs/>
          <w:sz w:val="28"/>
          <w:szCs w:val="28"/>
        </w:rPr>
        <w:t>доходность российских ПИФов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качестве факторов, которые могут оказывать влияние на динамику избыточной доходности российских ПИФов за год, были выбраны следующие переменные: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1.</w:t>
      </w:r>
      <w:r>
        <w:rPr>
          <w:rFonts w:ascii="Times New Roman CYR" w:hAnsi="Times New Roman CYR" w:cs="Times New Roman CYR"/>
          <w:i/>
          <w:iCs/>
          <w:sz w:val="28"/>
          <w:szCs w:val="28"/>
        </w:rPr>
        <w:tab/>
        <w:t>Избыточная доходность предыдущего года.</w:t>
      </w:r>
      <w:r>
        <w:rPr>
          <w:rFonts w:ascii="Times New Roman CYR" w:hAnsi="Times New Roman CYR" w:cs="Times New Roman CYR"/>
          <w:sz w:val="28"/>
          <w:szCs w:val="28"/>
        </w:rPr>
        <w:t xml:space="preserve"> Предполагается положительное влияние </w:t>
      </w:r>
      <w:r>
        <w:rPr>
          <w:rFonts w:ascii="Times New Roman CYR" w:hAnsi="Times New Roman CYR" w:cs="Times New Roman CYR"/>
          <w:sz w:val="28"/>
          <w:szCs w:val="28"/>
        </w:rPr>
        <w:t>данной переменной на объясняемую, в соответствии с теорией краткосрочной устойчивости результатов фондов лет (Hendricks, et al., 1993) (Goetzmann, et al., 1994) (Brown, et al., 1995) (Chou, et al., 2014).</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2.</w:t>
      </w:r>
      <w:r>
        <w:rPr>
          <w:rFonts w:ascii="Times New Roman CYR" w:hAnsi="Times New Roman CYR" w:cs="Times New Roman CYR"/>
          <w:i/>
          <w:iCs/>
          <w:sz w:val="28"/>
          <w:szCs w:val="28"/>
        </w:rPr>
        <w:tab/>
        <w:t>Приток средств текущего года и приток средств пр</w:t>
      </w:r>
      <w:r>
        <w:rPr>
          <w:rFonts w:ascii="Times New Roman CYR" w:hAnsi="Times New Roman CYR" w:cs="Times New Roman CYR"/>
          <w:i/>
          <w:iCs/>
          <w:sz w:val="28"/>
          <w:szCs w:val="28"/>
        </w:rPr>
        <w:t>едыдущего года.</w:t>
      </w:r>
      <w:r>
        <w:rPr>
          <w:rFonts w:ascii="Times New Roman CYR" w:hAnsi="Times New Roman CYR" w:cs="Times New Roman CYR"/>
          <w:sz w:val="28"/>
          <w:szCs w:val="28"/>
        </w:rPr>
        <w:t xml:space="preserve"> Предполагается наличие положительной взаимосвязи с объясняемой переменной, в соответствии с теорией умных денег </w:t>
      </w:r>
      <w:r>
        <w:rPr>
          <w:rFonts w:ascii="Times New Roman CYR" w:hAnsi="Times New Roman CYR" w:cs="Times New Roman CYR"/>
          <w:noProof/>
          <w:sz w:val="28"/>
          <w:szCs w:val="28"/>
        </w:rPr>
        <w:t>(Gruber, 1996) (Zheng, 1999) (Ferreira, et al., 2013) (Абрамов,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3.</w:t>
      </w:r>
      <w:r>
        <w:rPr>
          <w:rFonts w:ascii="Times New Roman CYR" w:hAnsi="Times New Roman CYR" w:cs="Times New Roman CYR"/>
          <w:i/>
          <w:iCs/>
          <w:sz w:val="28"/>
          <w:szCs w:val="28"/>
        </w:rPr>
        <w:tab/>
        <w:t>Размер чистых активов фонда.</w:t>
      </w:r>
      <w:r>
        <w:rPr>
          <w:rFonts w:ascii="Times New Roman CYR" w:hAnsi="Times New Roman CYR" w:cs="Times New Roman CYR"/>
          <w:sz w:val="28"/>
          <w:szCs w:val="28"/>
        </w:rPr>
        <w:t xml:space="preserve"> Предполагается пол</w:t>
      </w:r>
      <w:r>
        <w:rPr>
          <w:rFonts w:ascii="Times New Roman CYR" w:hAnsi="Times New Roman CYR" w:cs="Times New Roman CYR"/>
          <w:sz w:val="28"/>
          <w:szCs w:val="28"/>
        </w:rPr>
        <w:t xml:space="preserve">ожительное влияние на избыточную доходность с учетом результатов Феррейра на развивающихся рынках и Абрамова и Акшенцевой на российском </w:t>
      </w:r>
      <w:r>
        <w:rPr>
          <w:rFonts w:ascii="Times New Roman CYR" w:hAnsi="Times New Roman CYR" w:cs="Times New Roman CYR"/>
          <w:noProof/>
          <w:sz w:val="28"/>
          <w:szCs w:val="28"/>
        </w:rPr>
        <w:t>(Ferreira, et al., 2013) (Абрамов, и др., 2014)</w:t>
      </w:r>
      <w:r>
        <w:rPr>
          <w:rFonts w:ascii="Times New Roman CYR" w:hAnsi="Times New Roman CYR" w:cs="Times New Roman CYR"/>
          <w:sz w:val="28"/>
          <w:szCs w:val="28"/>
        </w:rPr>
        <w:t>. Используется логарифмированная переменная, так как это помогает уменьши</w:t>
      </w:r>
      <w:r>
        <w:rPr>
          <w:rFonts w:ascii="Times New Roman CYR" w:hAnsi="Times New Roman CYR" w:cs="Times New Roman CYR"/>
          <w:sz w:val="28"/>
          <w:szCs w:val="28"/>
        </w:rPr>
        <w:t>ть асимметрию величины, а также приблизить распределение остатков регрессии к нормальным</w:t>
      </w:r>
      <w:r>
        <w:rPr>
          <w:rFonts w:ascii="Times New Roman CYR" w:hAnsi="Times New Roman CYR" w:cs="Times New Roman CYR"/>
          <w:noProof/>
          <w:sz w:val="28"/>
          <w:szCs w:val="28"/>
        </w:rPr>
        <w:t xml:space="preserve"> (Ратникова,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4.</w:t>
      </w:r>
      <w:r>
        <w:rPr>
          <w:rFonts w:ascii="Times New Roman CYR" w:hAnsi="Times New Roman CYR" w:cs="Times New Roman CYR"/>
          <w:i/>
          <w:iCs/>
          <w:sz w:val="28"/>
          <w:szCs w:val="28"/>
        </w:rPr>
        <w:tab/>
        <w:t>Общие расходы фонда, в процентном отношении к СЧА.</w:t>
      </w:r>
      <w:r>
        <w:rPr>
          <w:rFonts w:ascii="Times New Roman CYR" w:hAnsi="Times New Roman CYR" w:cs="Times New Roman CYR"/>
          <w:sz w:val="28"/>
          <w:szCs w:val="28"/>
        </w:rPr>
        <w:t xml:space="preserve"> Предполагается отрицательная зависимость в соответствии с результатами Кархарта </w:t>
      </w:r>
      <w:r>
        <w:rPr>
          <w:rFonts w:ascii="Times New Roman CYR" w:hAnsi="Times New Roman CYR" w:cs="Times New Roman CYR"/>
          <w:noProof/>
          <w:sz w:val="28"/>
          <w:szCs w:val="28"/>
        </w:rPr>
        <w:t>(Carhar</w:t>
      </w:r>
      <w:r>
        <w:rPr>
          <w:rFonts w:ascii="Times New Roman CYR" w:hAnsi="Times New Roman CYR" w:cs="Times New Roman CYR"/>
          <w:noProof/>
          <w:sz w:val="28"/>
          <w:szCs w:val="28"/>
        </w:rPr>
        <w:t>t, 1997)</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5.</w:t>
      </w:r>
      <w:r>
        <w:rPr>
          <w:rFonts w:ascii="Times New Roman CYR" w:hAnsi="Times New Roman CYR" w:cs="Times New Roman CYR"/>
          <w:i/>
          <w:iCs/>
          <w:sz w:val="28"/>
          <w:szCs w:val="28"/>
        </w:rPr>
        <w:tab/>
        <w:t>Участие в сделке слияния в предыдущем году.</w:t>
      </w:r>
      <w:r>
        <w:rPr>
          <w:rFonts w:ascii="Times New Roman CYR" w:hAnsi="Times New Roman CYR" w:cs="Times New Roman CYR"/>
          <w:sz w:val="28"/>
          <w:szCs w:val="28"/>
        </w:rPr>
        <w:t xml:space="preserve"> Предполагается, что данный фактор должен иметь положительное влияние на избыточную доходность фонда за счет улучшения эффективности работы фондов </w:t>
      </w:r>
      <w:r>
        <w:rPr>
          <w:rFonts w:ascii="Times New Roman CYR" w:hAnsi="Times New Roman CYR" w:cs="Times New Roman CYR"/>
          <w:noProof/>
          <w:sz w:val="28"/>
          <w:szCs w:val="28"/>
        </w:rPr>
        <w:t>(Jayaraman, et al., 2002)</w:t>
      </w:r>
      <w:r>
        <w:rPr>
          <w:rFonts w:ascii="Times New Roman CYR" w:hAnsi="Times New Roman CYR" w:cs="Times New Roman CYR"/>
          <w:sz w:val="28"/>
          <w:szCs w:val="28"/>
        </w:rPr>
        <w:t xml:space="preserve"> и в соответствии с тестами</w:t>
      </w:r>
      <w:r>
        <w:rPr>
          <w:rFonts w:ascii="Times New Roman CYR" w:hAnsi="Times New Roman CYR" w:cs="Times New Roman CYR"/>
          <w:sz w:val="28"/>
          <w:szCs w:val="28"/>
        </w:rPr>
        <w:t>, проведенными выше.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6.</w:t>
      </w:r>
      <w:r>
        <w:rPr>
          <w:rFonts w:ascii="Times New Roman CYR" w:hAnsi="Times New Roman CYR" w:cs="Times New Roman CYR"/>
          <w:i/>
          <w:iCs/>
          <w:sz w:val="28"/>
          <w:szCs w:val="28"/>
        </w:rPr>
        <w:tab/>
        <w:t>Объем финансовых инвестиций в России в текущем году.</w:t>
      </w:r>
      <w:r>
        <w:rPr>
          <w:rFonts w:ascii="Times New Roman CYR" w:hAnsi="Times New Roman CYR" w:cs="Times New Roman CYR"/>
          <w:sz w:val="28"/>
          <w:szCs w:val="28"/>
        </w:rPr>
        <w:t xml:space="preserve"> </w:t>
      </w:r>
      <w:r>
        <w:rPr>
          <w:rFonts w:ascii="Times New Roman CYR" w:hAnsi="Times New Roman CYR" w:cs="Times New Roman CYR"/>
          <w:sz w:val="28"/>
          <w:szCs w:val="28"/>
        </w:rPr>
        <w:lastRenderedPageBreak/>
        <w:t>Используется в качестве индикатора состояния финансового рынка.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будут тестироваться следующие гипотезы.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6.</w:t>
      </w:r>
      <w:r>
        <w:rPr>
          <w:rFonts w:ascii="Times New Roman CYR" w:hAnsi="Times New Roman CYR" w:cs="Times New Roman CYR"/>
          <w:sz w:val="28"/>
          <w:szCs w:val="28"/>
        </w:rPr>
        <w:t xml:space="preserve"> Избыточная доходность предыдущего года российски</w:t>
      </w:r>
      <w:r>
        <w:rPr>
          <w:rFonts w:ascii="Times New Roman CYR" w:hAnsi="Times New Roman CYR" w:cs="Times New Roman CYR"/>
          <w:sz w:val="28"/>
          <w:szCs w:val="28"/>
        </w:rPr>
        <w:t>х ПИФов положительно влияет на их избыточную доходность в текущем году.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7.</w:t>
      </w:r>
      <w:r>
        <w:rPr>
          <w:rFonts w:ascii="Times New Roman CYR" w:hAnsi="Times New Roman CYR" w:cs="Times New Roman CYR"/>
          <w:sz w:val="28"/>
          <w:szCs w:val="28"/>
        </w:rPr>
        <w:t xml:space="preserve"> Приток средств в российские ПИФы в текущем году положительно влияет на их избыточную доходность в текущем году.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7.1.</w:t>
      </w:r>
      <w:r>
        <w:rPr>
          <w:rFonts w:ascii="Times New Roman CYR" w:hAnsi="Times New Roman CYR" w:cs="Times New Roman CYR"/>
          <w:sz w:val="28"/>
          <w:szCs w:val="28"/>
        </w:rPr>
        <w:t xml:space="preserve"> Приток средств в российские ПИФы в предыдущем </w:t>
      </w:r>
      <w:r>
        <w:rPr>
          <w:rFonts w:ascii="Times New Roman CYR" w:hAnsi="Times New Roman CYR" w:cs="Times New Roman CYR"/>
          <w:sz w:val="28"/>
          <w:szCs w:val="28"/>
        </w:rPr>
        <w:t>году положительно влияет на их текущую избыточную доходность.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8.</w:t>
      </w:r>
      <w:r>
        <w:rPr>
          <w:rFonts w:ascii="Times New Roman CYR" w:hAnsi="Times New Roman CYR" w:cs="Times New Roman CYR"/>
          <w:sz w:val="28"/>
          <w:szCs w:val="28"/>
        </w:rPr>
        <w:t xml:space="preserve"> Размер чистых активов ПИФа положительно влияет на его текущую избыточную доходность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9.</w:t>
      </w:r>
      <w:r>
        <w:rPr>
          <w:rFonts w:ascii="Times New Roman CYR" w:hAnsi="Times New Roman CYR" w:cs="Times New Roman CYR"/>
          <w:sz w:val="28"/>
          <w:szCs w:val="28"/>
        </w:rPr>
        <w:t xml:space="preserve"> Возраст ПИФа отрицательно влияет на его текущую избыточную доходность.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10.</w:t>
      </w:r>
      <w:r>
        <w:rPr>
          <w:rFonts w:ascii="Times New Roman CYR" w:hAnsi="Times New Roman CYR" w:cs="Times New Roman CYR"/>
          <w:sz w:val="28"/>
          <w:szCs w:val="28"/>
        </w:rPr>
        <w:t xml:space="preserve"> Об</w:t>
      </w:r>
      <w:r>
        <w:rPr>
          <w:rFonts w:ascii="Times New Roman CYR" w:hAnsi="Times New Roman CYR" w:cs="Times New Roman CYR"/>
          <w:sz w:val="28"/>
          <w:szCs w:val="28"/>
        </w:rPr>
        <w:t>щие расходы ПИФа находятся в отрицательной зависимости с его текущей избыточной доходностью.</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11.</w:t>
      </w:r>
      <w:r>
        <w:rPr>
          <w:rFonts w:ascii="Times New Roman CYR" w:hAnsi="Times New Roman CYR" w:cs="Times New Roman CYR"/>
          <w:sz w:val="28"/>
          <w:szCs w:val="28"/>
        </w:rPr>
        <w:t xml:space="preserve"> Факт присоединения к изучаемому ПИФу другого фонда в прошлом году положительно влияет на его текущую избыточную доходность.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тестирования этих гипо</w:t>
      </w:r>
      <w:r>
        <w:rPr>
          <w:rFonts w:ascii="Times New Roman CYR" w:hAnsi="Times New Roman CYR" w:cs="Times New Roman CYR"/>
          <w:sz w:val="28"/>
          <w:szCs w:val="28"/>
        </w:rPr>
        <w:t>тез были построены следующие модели (модель (1) предназначена для тестирования гипотез 6-10; модель (2) - для тестирования гипотез 6-11, при добавлении эффекта от слияния):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(1): </w:t>
      </w:r>
      <w:r w:rsidR="003549B8">
        <w:rPr>
          <w:rFonts w:ascii="Microsoft Sans Serif" w:hAnsi="Microsoft Sans Serif" w:cs="Microsoft Sans Serif"/>
          <w:noProof/>
          <w:sz w:val="17"/>
          <w:szCs w:val="17"/>
        </w:rPr>
        <w:drawing>
          <wp:inline distT="0" distB="0" distL="0" distR="0">
            <wp:extent cx="5938520" cy="431800"/>
            <wp:effectExtent l="19050" t="0" r="508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srcRect/>
                    <a:stretch>
                      <a:fillRect/>
                    </a:stretch>
                  </pic:blipFill>
                  <pic:spPr bwMode="auto">
                    <a:xfrm>
                      <a:off x="0" y="0"/>
                      <a:ext cx="5938520" cy="43180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707380" cy="412115"/>
            <wp:effectExtent l="19050" t="0" r="762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srcRect/>
                    <a:stretch>
                      <a:fillRect/>
                    </a:stretch>
                  </pic:blipFill>
                  <pic:spPr bwMode="auto">
                    <a:xfrm>
                      <a:off x="0" y="0"/>
                      <a:ext cx="5707380" cy="41211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 xml:space="preserve"> </w:t>
      </w:r>
      <w:r w:rsidR="003549B8">
        <w:rPr>
          <w:rFonts w:ascii="Microsoft Sans Serif" w:hAnsi="Microsoft Sans Serif" w:cs="Microsoft Sans Serif"/>
          <w:noProof/>
          <w:sz w:val="17"/>
          <w:szCs w:val="17"/>
        </w:rPr>
        <w:drawing>
          <wp:inline distT="0" distB="0" distL="0" distR="0">
            <wp:extent cx="5938520" cy="431800"/>
            <wp:effectExtent l="19050" t="0" r="508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srcRect/>
                    <a:stretch>
                      <a:fillRect/>
                    </a:stretch>
                  </pic:blipFill>
                  <pic:spPr bwMode="auto">
                    <a:xfrm>
                      <a:off x="0" y="0"/>
                      <a:ext cx="5938520" cy="43180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707380" cy="412115"/>
            <wp:effectExtent l="19050" t="0" r="762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srcRect/>
                    <a:stretch>
                      <a:fillRect/>
                    </a:stretch>
                  </pic:blipFill>
                  <pic:spPr bwMode="auto">
                    <a:xfrm>
                      <a:off x="0" y="0"/>
                      <a:ext cx="5707380" cy="41211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br w:type="page"/>
      </w:r>
      <w:r>
        <w:rPr>
          <w:rFonts w:ascii="Times New Roman CYR" w:hAnsi="Times New Roman CYR" w:cs="Times New Roman CYR"/>
          <w:sz w:val="28"/>
          <w:szCs w:val="28"/>
        </w:rPr>
        <w:lastRenderedPageBreak/>
        <w:t xml:space="preserve">Где </w:t>
      </w:r>
      <w:r w:rsidR="003549B8">
        <w:rPr>
          <w:rFonts w:ascii="Microsoft Sans Serif" w:hAnsi="Microsoft Sans Serif" w:cs="Microsoft Sans Serif"/>
          <w:noProof/>
          <w:sz w:val="17"/>
          <w:szCs w:val="17"/>
        </w:rPr>
        <w:drawing>
          <wp:inline distT="0" distB="0" distL="0" distR="0">
            <wp:extent cx="301625" cy="220980"/>
            <wp:effectExtent l="19050" t="0" r="317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01625" cy="220980"/>
            <wp:effectExtent l="19050" t="0" r="317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текущем периоде, </w:t>
      </w:r>
      <w:r w:rsidR="003549B8">
        <w:rPr>
          <w:rFonts w:ascii="Microsoft Sans Serif" w:hAnsi="Microsoft Sans Serif" w:cs="Microsoft Sans Serif"/>
          <w:noProof/>
          <w:sz w:val="17"/>
          <w:szCs w:val="17"/>
        </w:rPr>
        <w:drawing>
          <wp:inline distT="0" distB="0" distL="0" distR="0">
            <wp:extent cx="422275" cy="25146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22275" cy="251460"/>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предыдущем периоде, </w:t>
      </w:r>
      <w:r w:rsidR="003549B8">
        <w:rPr>
          <w:rFonts w:ascii="Microsoft Sans Serif" w:hAnsi="Microsoft Sans Serif" w:cs="Microsoft Sans Serif"/>
          <w:noProof/>
          <w:sz w:val="17"/>
          <w:szCs w:val="17"/>
        </w:rPr>
        <w:drawing>
          <wp:inline distT="0" distB="0" distL="0" distR="0">
            <wp:extent cx="431800" cy="180975"/>
            <wp:effectExtent l="19050" t="0" r="635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31800" cy="180975"/>
            <wp:effectExtent l="19050" t="0" r="635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текущем периоде, </w:t>
      </w:r>
      <w:r w:rsidR="003549B8">
        <w:rPr>
          <w:rFonts w:ascii="Microsoft Sans Serif" w:hAnsi="Microsoft Sans Serif" w:cs="Microsoft Sans Serif"/>
          <w:noProof/>
          <w:sz w:val="17"/>
          <w:szCs w:val="17"/>
        </w:rPr>
        <w:drawing>
          <wp:inline distT="0" distB="0" distL="0" distR="0">
            <wp:extent cx="653415" cy="200660"/>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653415" cy="200660"/>
            <wp:effectExtent l="1905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предыдущем периоде, </w:t>
      </w:r>
      <w:r w:rsidR="003549B8">
        <w:rPr>
          <w:rFonts w:ascii="Microsoft Sans Serif" w:hAnsi="Microsoft Sans Serif" w:cs="Microsoft Sans Serif"/>
          <w:noProof/>
          <w:sz w:val="17"/>
          <w:szCs w:val="17"/>
        </w:rPr>
        <w:drawing>
          <wp:inline distT="0" distB="0" distL="0" distR="0">
            <wp:extent cx="552450" cy="180975"/>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52450" cy="180975"/>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логарифм чистых активов фонда, </w:t>
      </w:r>
      <w:r w:rsidR="003549B8">
        <w:rPr>
          <w:rFonts w:ascii="Microsoft Sans Serif" w:hAnsi="Microsoft Sans Serif" w:cs="Microsoft Sans Serif"/>
          <w:noProof/>
          <w:sz w:val="17"/>
          <w:szCs w:val="17"/>
        </w:rPr>
        <w:drawing>
          <wp:inline distT="0" distB="0" distL="0" distR="0">
            <wp:extent cx="351790" cy="18097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возраст фонда с момента его основания, </w:t>
      </w:r>
      <w:r w:rsidR="003549B8">
        <w:rPr>
          <w:rFonts w:ascii="Microsoft Sans Serif" w:hAnsi="Microsoft Sans Serif" w:cs="Microsoft Sans Serif"/>
          <w:noProof/>
          <w:sz w:val="17"/>
          <w:szCs w:val="17"/>
        </w:rPr>
        <w:drawing>
          <wp:inline distT="0" distB="0" distL="0" distR="0">
            <wp:extent cx="351790" cy="180975"/>
            <wp:effectExtent l="1905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совокупные расходы фонда в процентном отношении к чистым активам, </w:t>
      </w:r>
      <w:r w:rsidR="003549B8">
        <w:rPr>
          <w:rFonts w:ascii="Microsoft Sans Serif" w:hAnsi="Microsoft Sans Serif" w:cs="Microsoft Sans Serif"/>
          <w:noProof/>
          <w:sz w:val="17"/>
          <w:szCs w:val="17"/>
        </w:rPr>
        <w:drawing>
          <wp:inline distT="0" distB="0" distL="0" distR="0">
            <wp:extent cx="321310" cy="180975"/>
            <wp:effectExtent l="19050" t="0" r="254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21310" cy="180975"/>
            <wp:effectExtent l="19050" t="0" r="254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объем финансовых инвестиций в РФ в текущем периоде, </w:t>
      </w:r>
      <w:r w:rsidR="003549B8">
        <w:rPr>
          <w:rFonts w:ascii="Microsoft Sans Serif" w:hAnsi="Microsoft Sans Serif" w:cs="Microsoft Sans Serif"/>
          <w:noProof/>
          <w:sz w:val="17"/>
          <w:szCs w:val="17"/>
        </w:rPr>
        <w:drawing>
          <wp:inline distT="0" distB="0" distL="0" distR="0">
            <wp:extent cx="391795" cy="180975"/>
            <wp:effectExtent l="19050" t="0" r="825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91795" cy="180975"/>
            <wp:effectExtent l="19050" t="0" r="825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дамми-переменная, принимающая следующие значения:</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i/>
          <w:iCs/>
          <w:sz w:val="28"/>
          <w:szCs w:val="28"/>
        </w:rPr>
      </w:pPr>
      <w:r>
        <w:rPr>
          <w:rFonts w:ascii="Microsoft Sans Serif" w:hAnsi="Microsoft Sans Serif" w:cs="Microsoft Sans Serif"/>
          <w:noProof/>
          <w:sz w:val="17"/>
          <w:szCs w:val="17"/>
        </w:rPr>
        <w:drawing>
          <wp:inline distT="0" distB="0" distL="0" distR="0">
            <wp:extent cx="5104765" cy="321310"/>
            <wp:effectExtent l="19050" t="0" r="63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a:srcRect/>
                    <a:stretch>
                      <a:fillRect/>
                    </a:stretch>
                  </pic:blipFill>
                  <pic:spPr bwMode="auto">
                    <a:xfrm>
                      <a:off x="0" y="0"/>
                      <a:ext cx="5104765" cy="32131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При тестировании на данных, модель (1) показывает удовлетворительное значение скорректированн</w:t>
      </w:r>
      <w:r>
        <w:rPr>
          <w:rFonts w:ascii="Times New Roman CYR" w:hAnsi="Times New Roman CYR" w:cs="Times New Roman CYR"/>
          <w:sz w:val="28"/>
          <w:szCs w:val="28"/>
        </w:rPr>
        <w:t xml:space="preserve">ого </w:t>
      </w:r>
      <w:r>
        <w:rPr>
          <w:rFonts w:ascii="Times New Roman CYR" w:hAnsi="Times New Roman CYR" w:cs="Times New Roman CYR"/>
          <w:sz w:val="28"/>
          <w:szCs w:val="28"/>
          <w:lang w:val="en-US"/>
        </w:rPr>
        <w:t>R</w:t>
      </w:r>
      <w:r>
        <w:rPr>
          <w:rFonts w:ascii="Times New Roman CYR" w:hAnsi="Times New Roman CYR" w:cs="Times New Roman CYR"/>
          <w:sz w:val="28"/>
          <w:szCs w:val="28"/>
        </w:rPr>
        <w:t>2 (11.36%), и значимость коэффициентов перед избыточной доходностью и притоком средств в предыдущие периоды, а также размером фонда и объемом финансовых инвестиций в России в текущем году. Однако данная модель показала высокую мультиколлинеарность из-</w:t>
      </w:r>
      <w:r>
        <w:rPr>
          <w:rFonts w:ascii="Times New Roman CYR" w:hAnsi="Times New Roman CYR" w:cs="Times New Roman CYR"/>
          <w:sz w:val="28"/>
          <w:szCs w:val="28"/>
        </w:rPr>
        <w:t xml:space="preserve">за коррелированности одного из регрессоров (размера фонда) со свободным членом (см. табл. 8). Показатели </w:t>
      </w:r>
      <w:r>
        <w:rPr>
          <w:rFonts w:ascii="Times New Roman CYR" w:hAnsi="Times New Roman CYR" w:cs="Times New Roman CYR"/>
          <w:sz w:val="28"/>
          <w:szCs w:val="28"/>
          <w:lang w:val="en-US"/>
        </w:rPr>
        <w:t>VIF</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variance</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inflation</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factor</w:t>
      </w:r>
      <w:r>
        <w:rPr>
          <w:rFonts w:ascii="Times New Roman CYR" w:hAnsi="Times New Roman CYR" w:cs="Times New Roman CYR"/>
          <w:sz w:val="28"/>
          <w:szCs w:val="28"/>
        </w:rPr>
        <w:t>) считаются нормальными, если они не превышают 10 (в некоторых источниках - 30).</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4817"/>
        <w:gridCol w:w="1862"/>
        <w:gridCol w:w="2391"/>
      </w:tblGrid>
      <w:tr w:rsidR="00000000">
        <w:tblPrEx>
          <w:tblCellMar>
            <w:top w:w="0" w:type="dxa"/>
            <w:bottom w:w="0" w:type="dxa"/>
          </w:tblCellMar>
        </w:tblPrEx>
        <w:tc>
          <w:tcPr>
            <w:tcW w:w="9070" w:type="dxa"/>
            <w:gridSpan w:val="3"/>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8. Показатели VIF в модели (1)</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w:t>
            </w:r>
            <w:r>
              <w:rPr>
                <w:rFonts w:ascii="Times New Roman CYR" w:hAnsi="Times New Roman CYR" w:cs="Times New Roman CYR"/>
                <w:sz w:val="20"/>
                <w:szCs w:val="20"/>
              </w:rPr>
              <w:t>еременная</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VIF</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1/VIF</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Свободный член</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219.16</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0.004563</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lnAUM</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183.22</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0.005458</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Exp</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13.36</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0.074825</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Inv</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7.87</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0.127034</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7.14</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0.140102</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r>
              <w:rPr>
                <w:rFonts w:ascii="Times New Roman CYR" w:hAnsi="Times New Roman CYR" w:cs="Times New Roman CYR"/>
                <w:sz w:val="20"/>
                <w:szCs w:val="20"/>
              </w:rPr>
              <w:t>1</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1.11</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0.897719</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RAdjt-</w:t>
            </w:r>
            <w:r>
              <w:rPr>
                <w:rFonts w:ascii="Times New Roman CYR" w:hAnsi="Times New Roman CYR" w:cs="Times New Roman CYR"/>
                <w:sz w:val="20"/>
                <w:szCs w:val="20"/>
              </w:rPr>
              <w:t>1</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1.09</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0.919758</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1.06</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0.942245</w:t>
            </w: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 xml:space="preserve">Среднее значение </w:t>
            </w:r>
            <w:r>
              <w:rPr>
                <w:rFonts w:ascii="Times New Roman CYR" w:hAnsi="Times New Roman CYR" w:cs="Times New Roman CYR"/>
                <w:sz w:val="20"/>
                <w:szCs w:val="20"/>
                <w:lang w:val="en-US"/>
              </w:rPr>
              <w:t>VIF</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54.25</w:t>
            </w: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48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w:t>
            </w:r>
          </w:p>
        </w:tc>
        <w:tc>
          <w:tcPr>
            <w:tcW w:w="18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239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Данные результаты означают, что эти два показателя на большую часть включают в себя информацию друг о друге и можно избавиться от одного из них, не потеряв объясняющей силы модели. Было решено избавиться от свободного члена, в результате чего объясняюща</w:t>
      </w:r>
      <w:r>
        <w:rPr>
          <w:rFonts w:ascii="Times New Roman CYR" w:hAnsi="Times New Roman CYR" w:cs="Times New Roman CYR"/>
          <w:sz w:val="28"/>
          <w:szCs w:val="28"/>
        </w:rPr>
        <w:t>я сила модели (</w:t>
      </w:r>
      <w:r>
        <w:rPr>
          <w:rFonts w:ascii="Times New Roman CYR" w:hAnsi="Times New Roman CYR" w:cs="Times New Roman CYR"/>
          <w:sz w:val="28"/>
          <w:szCs w:val="28"/>
          <w:lang w:val="en-US"/>
        </w:rPr>
        <w:t>R</w:t>
      </w:r>
      <w:r>
        <w:rPr>
          <w:rFonts w:ascii="Times New Roman CYR" w:hAnsi="Times New Roman CYR" w:cs="Times New Roman CYR"/>
          <w:sz w:val="28"/>
          <w:szCs w:val="28"/>
        </w:rPr>
        <w:t xml:space="preserve">2) увеличилась до 14.75%. Однако показатели </w:t>
      </w:r>
      <w:r>
        <w:rPr>
          <w:rFonts w:ascii="Times New Roman CYR" w:hAnsi="Times New Roman CYR" w:cs="Times New Roman CYR"/>
          <w:sz w:val="28"/>
          <w:szCs w:val="28"/>
          <w:lang w:val="en-US"/>
        </w:rPr>
        <w:t>VIF</w:t>
      </w:r>
      <w:r>
        <w:rPr>
          <w:rFonts w:ascii="Times New Roman CYR" w:hAnsi="Times New Roman CYR" w:cs="Times New Roman CYR"/>
          <w:sz w:val="28"/>
          <w:szCs w:val="28"/>
        </w:rPr>
        <w:t xml:space="preserve"> по-прежнему оставались довольно высокими для коэффициентов перед размером фонда и его общими </w:t>
      </w:r>
      <w:r>
        <w:rPr>
          <w:rFonts w:ascii="Times New Roman CYR" w:hAnsi="Times New Roman CYR" w:cs="Times New Roman CYR"/>
          <w:sz w:val="28"/>
          <w:szCs w:val="28"/>
        </w:rPr>
        <w:lastRenderedPageBreak/>
        <w:t>расходами. С учетом того, что коэффициент перед общими расходами был незначимым, было решено убрать</w:t>
      </w:r>
      <w:r>
        <w:rPr>
          <w:rFonts w:ascii="Times New Roman CYR" w:hAnsi="Times New Roman CYR" w:cs="Times New Roman CYR"/>
          <w:sz w:val="28"/>
          <w:szCs w:val="28"/>
        </w:rPr>
        <w:t xml:space="preserve"> его. В таблице 9 представлены коэффициенты перед регрессорами в модели (1) - исходной модели, в модели (1.1) - модели без свободного члена и в модели (1.2) - без свободного члена и переменной общих расходов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111"/>
        <w:gridCol w:w="1323"/>
        <w:gridCol w:w="664"/>
        <w:gridCol w:w="1322"/>
        <w:gridCol w:w="664"/>
        <w:gridCol w:w="1322"/>
        <w:gridCol w:w="664"/>
      </w:tblGrid>
      <w:tr w:rsidR="00000000">
        <w:tblPrEx>
          <w:tblCellMar>
            <w:top w:w="0" w:type="dxa"/>
            <w:bottom w:w="0" w:type="dxa"/>
          </w:tblCellMar>
        </w:tblPrEx>
        <w:tc>
          <w:tcPr>
            <w:tcW w:w="9070" w:type="dxa"/>
            <w:gridSpan w:val="7"/>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9. Результаты тестирования моделей</w:t>
            </w:r>
            <w:r>
              <w:rPr>
                <w:rFonts w:ascii="Times New Roman CYR" w:hAnsi="Times New Roman CYR" w:cs="Times New Roman CYR"/>
                <w:sz w:val="20"/>
                <w:szCs w:val="20"/>
              </w:rPr>
              <w:t xml:space="preserve"> (1), (1.1) и (1.2)</w:t>
            </w: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Переменная</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RAdjt-</w:t>
            </w:r>
            <w:r>
              <w:rPr>
                <w:rFonts w:ascii="Times New Roman CYR" w:hAnsi="Times New Roman CYR" w:cs="Times New Roman CYR"/>
                <w:sz w:val="20"/>
                <w:szCs w:val="20"/>
              </w:rPr>
              <w:t>1</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-0.2</w:t>
            </w:r>
            <w:r>
              <w:rPr>
                <w:rFonts w:ascii="Times New Roman CYR" w:hAnsi="Times New Roman CYR" w:cs="Times New Roman CYR"/>
                <w:sz w:val="20"/>
                <w:szCs w:val="20"/>
                <w:lang w:val="en-US"/>
              </w:rPr>
              <w:t>883</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-0.27</w:t>
            </w:r>
            <w:r>
              <w:rPr>
                <w:rFonts w:ascii="Times New Roman CYR" w:hAnsi="Times New Roman CYR" w:cs="Times New Roman CYR"/>
                <w:sz w:val="20"/>
                <w:szCs w:val="20"/>
                <w:lang w:val="en-US"/>
              </w:rPr>
              <w:t>4</w:t>
            </w:r>
            <w:r>
              <w:rPr>
                <w:rFonts w:ascii="Times New Roman CYR" w:hAnsi="Times New Roman CYR" w:cs="Times New Roman CYR"/>
                <w:sz w:val="20"/>
                <w:szCs w:val="20"/>
              </w:rPr>
              <w:t>8</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-0.2739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w:t>
            </w:r>
            <w:r>
              <w:rPr>
                <w:rFonts w:ascii="Times New Roman CYR" w:hAnsi="Times New Roman CYR" w:cs="Times New Roman CYR"/>
                <w:sz w:val="20"/>
                <w:szCs w:val="20"/>
                <w:lang w:val="en-US"/>
              </w:rPr>
              <w:t>421</w:t>
            </w:r>
            <w:r>
              <w:rPr>
                <w:rFonts w:ascii="Times New Roman CYR" w:hAnsi="Times New Roman CYR" w:cs="Times New Roman CYR"/>
                <w:sz w:val="20"/>
                <w:szCs w:val="20"/>
              </w:rPr>
              <w:t xml:space="preserve"> </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359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-0.0352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r>
              <w:rPr>
                <w:rFonts w:ascii="Times New Roman CYR" w:hAnsi="Times New Roman CYR" w:cs="Times New Roman CYR"/>
                <w:sz w:val="20"/>
                <w:szCs w:val="20"/>
              </w:rPr>
              <w:t>1</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-0.01</w:t>
            </w:r>
            <w:r>
              <w:rPr>
                <w:rFonts w:ascii="Times New Roman CYR" w:hAnsi="Times New Roman CYR" w:cs="Times New Roman CYR"/>
                <w:sz w:val="20"/>
                <w:szCs w:val="20"/>
                <w:lang w:val="en-US"/>
              </w:rPr>
              <w:t>34</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-0.012</w:t>
            </w:r>
            <w:r>
              <w:rPr>
                <w:rFonts w:ascii="Times New Roman CYR" w:hAnsi="Times New Roman CYR" w:cs="Times New Roman CYR"/>
                <w:sz w:val="20"/>
                <w:szCs w:val="20"/>
                <w:lang w:val="en-US"/>
              </w:rPr>
              <w:t>5</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w:t>
            </w:r>
            <w:r>
              <w:rPr>
                <w:rFonts w:ascii="Times New Roman CYR" w:hAnsi="Times New Roman CYR" w:cs="Times New Roman CYR"/>
                <w:sz w:val="20"/>
                <w:szCs w:val="20"/>
                <w:lang w:val="en-US"/>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-0.0123</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Exp</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0.01</w:t>
            </w:r>
            <w:r>
              <w:rPr>
                <w:rFonts w:ascii="Times New Roman CYR" w:hAnsi="Times New Roman CYR" w:cs="Times New Roman CYR"/>
                <w:sz w:val="20"/>
                <w:szCs w:val="20"/>
                <w:lang w:val="en-US"/>
              </w:rPr>
              <w:t>29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-0.011</w:t>
            </w:r>
            <w:r>
              <w:rPr>
                <w:rFonts w:ascii="Times New Roman CYR" w:hAnsi="Times New Roman CYR" w:cs="Times New Roman CYR"/>
                <w:sz w:val="20"/>
                <w:szCs w:val="20"/>
                <w:lang w:val="en-US"/>
              </w:rPr>
              <w:t>8</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lnAUM</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0.060</w:t>
            </w:r>
            <w:r>
              <w:rPr>
                <w:rFonts w:ascii="Times New Roman CYR" w:hAnsi="Times New Roman CYR" w:cs="Times New Roman CYR"/>
                <w:sz w:val="20"/>
                <w:szCs w:val="20"/>
                <w:lang w:val="en-US"/>
              </w:rPr>
              <w:t>4</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208</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0.0189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Age</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-0.007</w:t>
            </w:r>
            <w:r>
              <w:rPr>
                <w:rFonts w:ascii="Times New Roman CYR" w:hAnsi="Times New Roman CYR" w:cs="Times New Roman CYR"/>
                <w:sz w:val="20"/>
                <w:szCs w:val="20"/>
                <w:lang w:val="en-US"/>
              </w:rPr>
              <w:t>3</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-0.00</w:t>
            </w:r>
            <w:r>
              <w:rPr>
                <w:rFonts w:ascii="Times New Roman CYR" w:hAnsi="Times New Roman CYR" w:cs="Times New Roman CYR"/>
                <w:sz w:val="20"/>
                <w:szCs w:val="20"/>
                <w:lang w:val="en-US"/>
              </w:rPr>
              <w:t>22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-0.0029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Inv</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-0.000002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-0.000003</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-0.000003</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Свободный член</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-0.84</w:t>
            </w:r>
            <w:r>
              <w:rPr>
                <w:rFonts w:ascii="Times New Roman CYR" w:hAnsi="Times New Roman CYR" w:cs="Times New Roman CYR"/>
                <w:sz w:val="20"/>
                <w:szCs w:val="20"/>
                <w:lang w:val="en-US"/>
              </w:rPr>
              <w:t>66</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r>
              <w:rPr>
                <w:rFonts w:ascii="Times New Roman CYR" w:hAnsi="Times New Roman CYR" w:cs="Times New Roman CYR"/>
                <w:sz w:val="20"/>
                <w:szCs w:val="20"/>
                <w:lang w:val="en-US"/>
              </w:rPr>
              <w:t>*</w:t>
            </w: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Скорректированный R2</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0.11</w:t>
            </w:r>
            <w:r>
              <w:rPr>
                <w:rFonts w:ascii="Times New Roman CYR" w:hAnsi="Times New Roman CYR" w:cs="Times New Roman CYR"/>
                <w:sz w:val="20"/>
                <w:szCs w:val="20"/>
                <w:lang w:val="en-US"/>
              </w:rPr>
              <w:t>72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0.15</w:t>
            </w:r>
            <w:r>
              <w:rPr>
                <w:rFonts w:ascii="Times New Roman CYR" w:hAnsi="Times New Roman CYR" w:cs="Times New Roman CYR"/>
                <w:sz w:val="20"/>
                <w:szCs w:val="20"/>
                <w:lang w:val="en-US"/>
              </w:rPr>
              <w:t>10</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0.1519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1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F-</w:t>
            </w:r>
            <w:r>
              <w:rPr>
                <w:rFonts w:ascii="Times New Roman CYR" w:hAnsi="Times New Roman CYR" w:cs="Times New Roman CYR"/>
                <w:sz w:val="20"/>
                <w:szCs w:val="20"/>
              </w:rPr>
              <w:t>статистика</w:t>
            </w:r>
          </w:p>
        </w:tc>
        <w:tc>
          <w:tcPr>
            <w:tcW w:w="132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1</w:t>
            </w:r>
            <w:r>
              <w:rPr>
                <w:rFonts w:ascii="Times New Roman CYR" w:hAnsi="Times New Roman CYR" w:cs="Times New Roman CYR"/>
                <w:sz w:val="20"/>
                <w:szCs w:val="20"/>
                <w:lang w:val="en-US"/>
              </w:rPr>
              <w:t>2</w:t>
            </w:r>
            <w:r>
              <w:rPr>
                <w:rFonts w:ascii="Times New Roman CYR" w:hAnsi="Times New Roman CYR" w:cs="Times New Roman CYR"/>
                <w:sz w:val="20"/>
                <w:szCs w:val="20"/>
              </w:rPr>
              <w:t>.</w:t>
            </w:r>
            <w:r>
              <w:rPr>
                <w:rFonts w:ascii="Times New Roman CYR" w:hAnsi="Times New Roman CYR" w:cs="Times New Roman CYR"/>
                <w:sz w:val="20"/>
                <w:szCs w:val="20"/>
                <w:lang w:val="en-US"/>
              </w:rPr>
              <w:t>19</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w:t>
            </w:r>
            <w:r>
              <w:rPr>
                <w:rFonts w:ascii="Times New Roman CYR" w:hAnsi="Times New Roman CYR" w:cs="Times New Roman CYR"/>
                <w:sz w:val="20"/>
                <w:szCs w:val="20"/>
                <w:lang w:val="en-US"/>
              </w:rPr>
              <w:t>02</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2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18.64</w:t>
            </w:r>
          </w:p>
        </w:tc>
        <w:tc>
          <w:tcPr>
            <w:tcW w:w="6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9070" w:type="dxa"/>
            <w:gridSpan w:val="7"/>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Звездочки показывают уровень значимости</w:t>
            </w:r>
            <w:r>
              <w:rPr>
                <w:rFonts w:ascii="Times New Roman CYR" w:hAnsi="Times New Roman CYR" w:cs="Times New Roman CYR"/>
                <w:sz w:val="20"/>
                <w:szCs w:val="20"/>
              </w:rPr>
              <w:t>: *** - 1%, ** - 5%, * - 10% Источник: расчеты автора</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Показатели </w:t>
      </w:r>
      <w:r>
        <w:rPr>
          <w:rFonts w:ascii="Times New Roman CYR" w:hAnsi="Times New Roman CYR" w:cs="Times New Roman CYR"/>
          <w:sz w:val="28"/>
          <w:szCs w:val="28"/>
          <w:lang w:val="en-US"/>
        </w:rPr>
        <w:t>VIF</w:t>
      </w:r>
      <w:r>
        <w:rPr>
          <w:rFonts w:ascii="Times New Roman CYR" w:hAnsi="Times New Roman CYR" w:cs="Times New Roman CYR"/>
          <w:sz w:val="28"/>
          <w:szCs w:val="28"/>
        </w:rPr>
        <w:t xml:space="preserve"> в модели 1.2 стали значительно ниже (см. табл. 10), а ее объясняющая сила значительно увеличилась.</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5052"/>
        <w:gridCol w:w="1643"/>
        <w:gridCol w:w="2375"/>
      </w:tblGrid>
      <w:tr w:rsidR="00000000">
        <w:tblPrEx>
          <w:tblCellMar>
            <w:top w:w="0" w:type="dxa"/>
            <w:bottom w:w="0" w:type="dxa"/>
          </w:tblCellMar>
        </w:tblPrEx>
        <w:tc>
          <w:tcPr>
            <w:tcW w:w="9070" w:type="dxa"/>
            <w:gridSpan w:val="3"/>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10. Показатели VIF в модели (1.2)</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Переменная</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VIF</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1/VIF</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Inv</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6.94</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0.144134</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6.64</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0.150606</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lnAUM</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6.06</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0.165037</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r>
              <w:rPr>
                <w:rFonts w:ascii="Times New Roman CYR" w:hAnsi="Times New Roman CYR" w:cs="Times New Roman CYR"/>
                <w:sz w:val="20"/>
                <w:szCs w:val="20"/>
              </w:rPr>
              <w:t>1</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1.11</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0.904724</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w:t>
            </w:r>
            <w:r>
              <w:rPr>
                <w:rFonts w:ascii="Times New Roman CYR" w:hAnsi="Times New Roman CYR" w:cs="Times New Roman CYR"/>
                <w:sz w:val="20"/>
                <w:szCs w:val="20"/>
              </w:rPr>
              <w:t>1</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1.07</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0.93513</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Flow</w:t>
            </w:r>
            <w:r>
              <w:rPr>
                <w:rFonts w:ascii="Times New Roman CYR" w:hAnsi="Times New Roman CYR" w:cs="Times New Roman CYR"/>
                <w:sz w:val="20"/>
                <w:szCs w:val="20"/>
                <w:lang w:val="en-US"/>
              </w:rPr>
              <w:t>t</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1.05</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0.953825</w:t>
            </w: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Среднее значение </w:t>
            </w:r>
            <w:r>
              <w:rPr>
                <w:rFonts w:ascii="Times New Roman CYR" w:hAnsi="Times New Roman CYR" w:cs="Times New Roman CYR"/>
                <w:sz w:val="20"/>
                <w:szCs w:val="20"/>
                <w:lang w:val="en-US"/>
              </w:rPr>
              <w:t>VIF</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3.81</w:t>
            </w: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50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Источник: расчеты автора</w:t>
            </w:r>
          </w:p>
        </w:tc>
        <w:tc>
          <w:tcPr>
            <w:tcW w:w="1643"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237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 учетом того, что наши данные включают в себя период с 2007 по 1015 год, то есть включают такие </w:t>
      </w:r>
      <w:r>
        <w:rPr>
          <w:rFonts w:ascii="Times New Roman CYR" w:hAnsi="Times New Roman CYR" w:cs="Times New Roman CYR"/>
          <w:sz w:val="28"/>
          <w:szCs w:val="28"/>
        </w:rPr>
        <w:t xml:space="preserve">сложные с финансовой точки зрения года, как 2008 и 2009, необходимо учесть влияние временных эффектов на доходность российских ПИФов. Для этого были построены дамми-переменные </w:t>
      </w:r>
      <w:r>
        <w:rPr>
          <w:rFonts w:ascii="Times New Roman CYR" w:hAnsi="Times New Roman CYR" w:cs="Times New Roman CYR"/>
          <w:sz w:val="28"/>
          <w:szCs w:val="28"/>
          <w:lang w:val="en-US"/>
        </w:rPr>
        <w:t>D</w:t>
      </w:r>
      <w:r>
        <w:rPr>
          <w:rFonts w:ascii="Times New Roman CYR" w:hAnsi="Times New Roman CYR" w:cs="Times New Roman CYR"/>
          <w:sz w:val="28"/>
          <w:szCs w:val="28"/>
        </w:rPr>
        <w:t>07-</w:t>
      </w:r>
      <w:r>
        <w:rPr>
          <w:rFonts w:ascii="Times New Roman CYR" w:hAnsi="Times New Roman CYR" w:cs="Times New Roman CYR"/>
          <w:sz w:val="28"/>
          <w:szCs w:val="28"/>
          <w:lang w:val="en-US"/>
        </w:rPr>
        <w:t>D</w:t>
      </w:r>
      <w:r>
        <w:rPr>
          <w:rFonts w:ascii="Times New Roman CYR" w:hAnsi="Times New Roman CYR" w:cs="Times New Roman CYR"/>
          <w:sz w:val="28"/>
          <w:szCs w:val="28"/>
        </w:rPr>
        <w:t>14:</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3549B8">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3547110" cy="31178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5"/>
                    <a:srcRect/>
                    <a:stretch>
                      <a:fillRect/>
                    </a:stretch>
                  </pic:blipFill>
                  <pic:spPr bwMode="auto">
                    <a:xfrm>
                      <a:off x="0" y="0"/>
                      <a:ext cx="3547110" cy="311785"/>
                    </a:xfrm>
                    <a:prstGeom prst="rect">
                      <a:avLst/>
                    </a:prstGeom>
                    <a:noFill/>
                    <a:ln w="9525">
                      <a:noFill/>
                      <a:miter lim="800000"/>
                      <a:headEnd/>
                      <a:tailEnd/>
                    </a:ln>
                  </pic:spPr>
                </pic:pic>
              </a:graphicData>
            </a:graphic>
          </wp:inline>
        </w:drawing>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итоговая модель им</w:t>
      </w:r>
      <w:r>
        <w:rPr>
          <w:rFonts w:ascii="Times New Roman CYR" w:hAnsi="Times New Roman CYR" w:cs="Times New Roman CYR"/>
          <w:sz w:val="28"/>
          <w:szCs w:val="28"/>
        </w:rPr>
        <w:t>еет следующий вид:</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(1.3):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431800"/>
            <wp:effectExtent l="19050" t="0" r="508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a:srcRect/>
                    <a:stretch>
                      <a:fillRect/>
                    </a:stretch>
                  </pic:blipFill>
                  <pic:spPr bwMode="auto">
                    <a:xfrm>
                      <a:off x="0" y="0"/>
                      <a:ext cx="5938520" cy="431800"/>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5345430" cy="391795"/>
            <wp:effectExtent l="19050" t="0" r="762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6"/>
                    <a:srcRect/>
                    <a:stretch>
                      <a:fillRect/>
                    </a:stretch>
                  </pic:blipFill>
                  <pic:spPr bwMode="auto">
                    <a:xfrm>
                      <a:off x="0" y="0"/>
                      <a:ext cx="5345430" cy="39179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301625" cy="220980"/>
            <wp:effectExtent l="19050" t="0" r="317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01625" cy="220980"/>
            <wp:effectExtent l="19050" t="0" r="317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текущем периоде, </w:t>
      </w:r>
      <w:r w:rsidR="003549B8">
        <w:rPr>
          <w:rFonts w:ascii="Microsoft Sans Serif" w:hAnsi="Microsoft Sans Serif" w:cs="Microsoft Sans Serif"/>
          <w:noProof/>
          <w:sz w:val="17"/>
          <w:szCs w:val="17"/>
        </w:rPr>
        <w:drawing>
          <wp:inline distT="0" distB="0" distL="0" distR="0">
            <wp:extent cx="422275" cy="25146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22275" cy="25146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предыдущем периоде, </w:t>
      </w:r>
      <w:r w:rsidR="003549B8">
        <w:rPr>
          <w:rFonts w:ascii="Microsoft Sans Serif" w:hAnsi="Microsoft Sans Serif" w:cs="Microsoft Sans Serif"/>
          <w:noProof/>
          <w:sz w:val="17"/>
          <w:szCs w:val="17"/>
        </w:rPr>
        <w:drawing>
          <wp:inline distT="0" distB="0" distL="0" distR="0">
            <wp:extent cx="431800" cy="180975"/>
            <wp:effectExtent l="19050" t="0" r="635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31800" cy="180975"/>
            <wp:effectExtent l="19050" t="0" r="635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текущем периоде, </w:t>
      </w:r>
      <w:r w:rsidR="003549B8">
        <w:rPr>
          <w:rFonts w:ascii="Microsoft Sans Serif" w:hAnsi="Microsoft Sans Serif" w:cs="Microsoft Sans Serif"/>
          <w:noProof/>
          <w:sz w:val="17"/>
          <w:szCs w:val="17"/>
        </w:rPr>
        <w:drawing>
          <wp:inline distT="0" distB="0" distL="0" distR="0">
            <wp:extent cx="653415" cy="200660"/>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653415" cy="200660"/>
            <wp:effectExtent l="1905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предыдущем периоде, </w:t>
      </w:r>
      <w:r w:rsidR="003549B8">
        <w:rPr>
          <w:rFonts w:ascii="Microsoft Sans Serif" w:hAnsi="Microsoft Sans Serif" w:cs="Microsoft Sans Serif"/>
          <w:noProof/>
          <w:sz w:val="17"/>
          <w:szCs w:val="17"/>
        </w:rPr>
        <w:drawing>
          <wp:inline distT="0" distB="0" distL="0" distR="0">
            <wp:extent cx="552450" cy="180975"/>
            <wp:effectExtent l="1905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52450" cy="180975"/>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логарифм чистых активов фонда, </w:t>
      </w:r>
      <w:r w:rsidR="003549B8">
        <w:rPr>
          <w:rFonts w:ascii="Microsoft Sans Serif" w:hAnsi="Microsoft Sans Serif" w:cs="Microsoft Sans Serif"/>
          <w:noProof/>
          <w:sz w:val="17"/>
          <w:szCs w:val="17"/>
        </w:rPr>
        <w:drawing>
          <wp:inline distT="0" distB="0" distL="0" distR="0">
            <wp:extent cx="351790" cy="180975"/>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возраст фонда с момента его основания, </w:t>
      </w:r>
      <w:r w:rsidR="003549B8">
        <w:rPr>
          <w:rFonts w:ascii="Microsoft Sans Serif" w:hAnsi="Microsoft Sans Serif" w:cs="Microsoft Sans Serif"/>
          <w:noProof/>
          <w:sz w:val="17"/>
          <w:szCs w:val="17"/>
        </w:rPr>
        <w:drawing>
          <wp:inline distT="0" distB="0" distL="0" distR="0">
            <wp:extent cx="321310" cy="180975"/>
            <wp:effectExtent l="19050" t="0" r="254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21310" cy="180975"/>
            <wp:effectExtent l="19050" t="0" r="254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объем финансовых инвестиций в РФ в текущем периоде, </w:t>
      </w:r>
      <w:r>
        <w:rPr>
          <w:rFonts w:ascii="Times New Roman CYR" w:hAnsi="Times New Roman CYR" w:cs="Times New Roman CYR"/>
          <w:sz w:val="28"/>
          <w:szCs w:val="28"/>
          <w:lang w:val="en-US"/>
        </w:rPr>
        <w:t>D</w:t>
      </w:r>
      <w:r>
        <w:rPr>
          <w:rFonts w:ascii="Times New Roman CYR" w:hAnsi="Times New Roman CYR" w:cs="Times New Roman CYR"/>
          <w:sz w:val="28"/>
          <w:szCs w:val="28"/>
        </w:rPr>
        <w:t>07-</w:t>
      </w:r>
      <w:r>
        <w:rPr>
          <w:rFonts w:ascii="Times New Roman CYR" w:hAnsi="Times New Roman CYR" w:cs="Times New Roman CYR"/>
          <w:sz w:val="28"/>
          <w:szCs w:val="28"/>
          <w:lang w:val="en-US"/>
        </w:rPr>
        <w:t>D</w:t>
      </w:r>
      <w:r>
        <w:rPr>
          <w:rFonts w:ascii="Times New Roman CYR" w:hAnsi="Times New Roman CYR" w:cs="Times New Roman CYR"/>
          <w:sz w:val="28"/>
          <w:szCs w:val="28"/>
        </w:rPr>
        <w:t>14 - дамми-</w:t>
      </w:r>
      <w:r>
        <w:rPr>
          <w:rFonts w:ascii="Times New Roman CYR" w:hAnsi="Times New Roman CYR" w:cs="Times New Roman CYR"/>
          <w:sz w:val="28"/>
          <w:szCs w:val="28"/>
        </w:rPr>
        <w:t>переменные, позволяющие учесть временные эффекты.</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Результаты оценивания модели (1.3) представлены в таблице 11.</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964"/>
        <w:gridCol w:w="1468"/>
        <w:gridCol w:w="909"/>
      </w:tblGrid>
      <w:tr w:rsidR="00000000">
        <w:tblPrEx>
          <w:tblCellMar>
            <w:top w:w="0" w:type="dxa"/>
            <w:bottom w:w="0" w:type="dxa"/>
          </w:tblCellMar>
        </w:tblPrEx>
        <w:tc>
          <w:tcPr>
            <w:tcW w:w="6341" w:type="dxa"/>
            <w:gridSpan w:val="3"/>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w:t>
            </w:r>
            <w:r>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1</w:t>
            </w:r>
            <w:r>
              <w:rPr>
                <w:rFonts w:ascii="Times New Roman CYR" w:hAnsi="Times New Roman CYR" w:cs="Times New Roman CYR"/>
                <w:sz w:val="20"/>
                <w:szCs w:val="20"/>
                <w:lang w:val="en-US"/>
              </w:rPr>
              <w:t>1</w:t>
            </w:r>
            <w:r>
              <w:rPr>
                <w:rFonts w:ascii="Times New Roman CYR" w:hAnsi="Times New Roman CYR" w:cs="Times New Roman CYR"/>
                <w:sz w:val="20"/>
                <w:szCs w:val="20"/>
              </w:rPr>
              <w:t>. Результаты тестирования модели (1.3)</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Переменная</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(1.3)</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RAdjt-1</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-0.0648</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411</w:t>
            </w:r>
            <w:r>
              <w:rPr>
                <w:rFonts w:ascii="Times New Roman CYR" w:hAnsi="Times New Roman CYR" w:cs="Times New Roman CYR"/>
                <w:sz w:val="20"/>
                <w:szCs w:val="20"/>
                <w:lang w:val="en-US"/>
              </w:rPr>
              <w:t xml:space="preserve"> </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Flowt-1</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-0.001</w:t>
            </w:r>
            <w:r>
              <w:rPr>
                <w:rFonts w:ascii="Times New Roman CYR" w:hAnsi="Times New Roman CYR" w:cs="Times New Roman CYR"/>
                <w:sz w:val="20"/>
                <w:szCs w:val="20"/>
              </w:rPr>
              <w:t>6</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lnAUM</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0.021</w:t>
            </w:r>
            <w:r>
              <w:rPr>
                <w:rFonts w:ascii="Times New Roman CYR" w:hAnsi="Times New Roman CYR" w:cs="Times New Roman CYR"/>
                <w:sz w:val="20"/>
                <w:szCs w:val="20"/>
              </w:rPr>
              <w:t>2</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-0.008</w:t>
            </w:r>
            <w:r>
              <w:rPr>
                <w:rFonts w:ascii="Times New Roman CYR" w:hAnsi="Times New Roman CYR" w:cs="Times New Roman CYR"/>
                <w:sz w:val="20"/>
                <w:szCs w:val="20"/>
              </w:rPr>
              <w:t>6</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Inv</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-0.0000</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D07</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3044</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D08</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-0.9</w:t>
            </w:r>
            <w:r>
              <w:rPr>
                <w:rFonts w:ascii="Times New Roman CYR" w:hAnsi="Times New Roman CYR" w:cs="Times New Roman CYR"/>
                <w:sz w:val="20"/>
                <w:szCs w:val="20"/>
              </w:rPr>
              <w:t>776</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D09</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0.8</w:t>
            </w:r>
            <w:r>
              <w:rPr>
                <w:rFonts w:ascii="Times New Roman CYR" w:hAnsi="Times New Roman CYR" w:cs="Times New Roman CYR"/>
                <w:sz w:val="20"/>
                <w:szCs w:val="20"/>
              </w:rPr>
              <w:t>131</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D10</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w:t>
            </w:r>
            <w:r>
              <w:rPr>
                <w:rFonts w:ascii="Times New Roman CYR" w:hAnsi="Times New Roman CYR" w:cs="Times New Roman CYR"/>
                <w:sz w:val="20"/>
                <w:szCs w:val="20"/>
              </w:rPr>
              <w:t>385</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D11</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-0.4</w:t>
            </w:r>
            <w:r>
              <w:rPr>
                <w:rFonts w:ascii="Times New Roman CYR" w:hAnsi="Times New Roman CYR" w:cs="Times New Roman CYR"/>
                <w:sz w:val="20"/>
                <w:szCs w:val="20"/>
              </w:rPr>
              <w:t>542</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D12</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-0.32</w:t>
            </w:r>
            <w:r>
              <w:rPr>
                <w:rFonts w:ascii="Times New Roman CYR" w:hAnsi="Times New Roman CYR" w:cs="Times New Roman CYR"/>
                <w:sz w:val="20"/>
                <w:szCs w:val="20"/>
              </w:rPr>
              <w:t>27</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D13</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-0.28</w:t>
            </w:r>
            <w:r>
              <w:rPr>
                <w:rFonts w:ascii="Times New Roman CYR" w:hAnsi="Times New Roman CYR" w:cs="Times New Roman CYR"/>
                <w:sz w:val="20"/>
                <w:szCs w:val="20"/>
              </w:rPr>
              <w:t>61</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D14</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-0.20</w:t>
            </w:r>
            <w:r>
              <w:rPr>
                <w:rFonts w:ascii="Times New Roman CYR" w:hAnsi="Times New Roman CYR" w:cs="Times New Roman CYR"/>
                <w:sz w:val="20"/>
                <w:szCs w:val="20"/>
              </w:rPr>
              <w:t>00</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Скорректированный R2</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796</w:t>
            </w:r>
            <w:r>
              <w:rPr>
                <w:rFonts w:ascii="Times New Roman CYR" w:hAnsi="Times New Roman CYR" w:cs="Times New Roman CYR"/>
                <w:sz w:val="20"/>
                <w:szCs w:val="20"/>
              </w:rPr>
              <w:t>5</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96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F-</w:t>
            </w:r>
            <w:r>
              <w:rPr>
                <w:rFonts w:ascii="Times New Roman CYR" w:hAnsi="Times New Roman CYR" w:cs="Times New Roman CYR"/>
                <w:sz w:val="20"/>
                <w:szCs w:val="20"/>
              </w:rPr>
              <w:t>статистика</w:t>
            </w:r>
          </w:p>
        </w:tc>
        <w:tc>
          <w:tcPr>
            <w:tcW w:w="146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166.24</w:t>
            </w:r>
          </w:p>
        </w:tc>
        <w:tc>
          <w:tcPr>
            <w:tcW w:w="9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6341" w:type="dxa"/>
            <w:gridSpan w:val="3"/>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Звездочки показывают уровень значимости</w:t>
            </w:r>
            <w:r>
              <w:rPr>
                <w:rFonts w:ascii="Times New Roman CYR" w:hAnsi="Times New Roman CYR" w:cs="Times New Roman CYR"/>
                <w:sz w:val="20"/>
                <w:szCs w:val="20"/>
              </w:rPr>
              <w:t>: *** - 1%, ** - 5%, * - 10% Источник: расчеты автора</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Включение в модель временных эффектов оказалось оправданным, так как значимость модели сильно увеличилась, </w:t>
      </w:r>
      <w:r>
        <w:rPr>
          <w:rFonts w:ascii="Times New Roman CYR" w:hAnsi="Times New Roman CYR" w:cs="Times New Roman CYR"/>
          <w:sz w:val="28"/>
          <w:szCs w:val="28"/>
          <w:lang w:val="en-US"/>
        </w:rPr>
        <w:t>R</w:t>
      </w:r>
      <w:r>
        <w:rPr>
          <w:rFonts w:ascii="Times New Roman CYR" w:hAnsi="Times New Roman CYR" w:cs="Times New Roman CYR"/>
          <w:sz w:val="28"/>
          <w:szCs w:val="28"/>
        </w:rPr>
        <w:t xml:space="preserve">2 вырос до 79.65%, а значение </w:t>
      </w:r>
      <w:r>
        <w:rPr>
          <w:rFonts w:ascii="Times New Roman CYR" w:hAnsi="Times New Roman CYR" w:cs="Times New Roman CYR"/>
          <w:sz w:val="28"/>
          <w:szCs w:val="28"/>
          <w:lang w:val="en-US"/>
        </w:rPr>
        <w:t>F</w:t>
      </w:r>
      <w:r>
        <w:rPr>
          <w:rFonts w:ascii="Times New Roman CYR" w:hAnsi="Times New Roman CYR" w:cs="Times New Roman CYR"/>
          <w:sz w:val="28"/>
          <w:szCs w:val="28"/>
        </w:rPr>
        <w:t>-статистики выросло до 166.24 (с 18.64 в модели 1.2).</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Помимо </w:t>
      </w:r>
      <w:r>
        <w:rPr>
          <w:rFonts w:ascii="Times New Roman CYR" w:hAnsi="Times New Roman CYR" w:cs="Times New Roman CYR"/>
          <w:sz w:val="28"/>
          <w:szCs w:val="28"/>
        </w:rPr>
        <w:t>этого, мы видим, что все коэффициенты перед дамми-переменными (кроме дамми для 2010 года) показывают высокий уровень значимости. Как и предполагалось, 2008 год оказывает самое сильное влияние на результаты, понижая их в среднем на 0.98, что не удивительно,</w:t>
      </w:r>
      <w:r>
        <w:rPr>
          <w:rFonts w:ascii="Times New Roman CYR" w:hAnsi="Times New Roman CYR" w:cs="Times New Roman CYR"/>
          <w:sz w:val="28"/>
          <w:szCs w:val="28"/>
        </w:rPr>
        <w:t xml:space="preserve"> так как именно в этот год разгорелся мировой финансовый кризис. Помимо этого, очень высокое влияние показывает коэффициент перед 2009 годом - он положительный (единственный из всех лет), что показывает восстановление фондов после сильного провала 2008 год</w:t>
      </w:r>
      <w:r>
        <w:rPr>
          <w:rFonts w:ascii="Times New Roman CYR" w:hAnsi="Times New Roman CYR" w:cs="Times New Roman CYR"/>
          <w:sz w:val="28"/>
          <w:szCs w:val="28"/>
        </w:rPr>
        <w:t>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Включение в модель временных эффектов понизило значимость некоторых коэффициентов: так, незначимым стал коэффициент перед избыточной доходностью предыдущего периода, а также притока средств в предыдущем периоде и объема финансовых инвестиций в России в </w:t>
      </w:r>
      <w:r>
        <w:rPr>
          <w:rFonts w:ascii="Times New Roman CYR" w:hAnsi="Times New Roman CYR" w:cs="Times New Roman CYR"/>
          <w:sz w:val="28"/>
          <w:szCs w:val="28"/>
        </w:rPr>
        <w:t>целом. Напротив, значимость коэффициентов перед притоком средств в текущем периоде и возрастом фонда увеличилась.</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Приток средств в текущем году положительно влияет на доходность фондов, что может говорить о наличии эффекта "умных денег" на российском рынке</w:t>
      </w:r>
      <w:r>
        <w:rPr>
          <w:rFonts w:ascii="Times New Roman CYR" w:hAnsi="Times New Roman CYR" w:cs="Times New Roman CYR"/>
          <w:sz w:val="28"/>
          <w:szCs w:val="28"/>
        </w:rPr>
        <w:t>. Тем не менее, более вероятной кажется версия Сапп и Тивари о том, что инвесторы "наивно" преследуют недавних "победителей"</w:t>
      </w:r>
      <w:r>
        <w:rPr>
          <w:rFonts w:ascii="Times New Roman CYR" w:hAnsi="Times New Roman CYR" w:cs="Times New Roman CYR"/>
          <w:noProof/>
          <w:sz w:val="28"/>
          <w:szCs w:val="28"/>
        </w:rPr>
        <w:t xml:space="preserve"> (Sapp, et al., 2004)</w:t>
      </w:r>
      <w:r>
        <w:rPr>
          <w:rFonts w:ascii="Times New Roman CYR" w:hAnsi="Times New Roman CYR" w:cs="Times New Roman CYR"/>
          <w:sz w:val="28"/>
          <w:szCs w:val="28"/>
        </w:rPr>
        <w:t xml:space="preserve">. Такого же мнения придерживаются Абрамов и Акшенцева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 xml:space="preserve">. Несмотря на то, что модель (1.3) </w:t>
      </w:r>
      <w:r>
        <w:rPr>
          <w:rFonts w:ascii="Times New Roman CYR" w:hAnsi="Times New Roman CYR" w:cs="Times New Roman CYR"/>
          <w:sz w:val="28"/>
          <w:szCs w:val="28"/>
        </w:rPr>
        <w:t>не подтверждает наличие моментум-эффекта на российском рынке, это не значит, что его не существует. Модель рассматривает лищь годовые периоды, что не дает мало информации о том, как ведет себя избыточная доходность фондов внутри года. Кроме того, значимост</w:t>
      </w:r>
      <w:r>
        <w:rPr>
          <w:rFonts w:ascii="Times New Roman CYR" w:hAnsi="Times New Roman CYR" w:cs="Times New Roman CYR"/>
          <w:sz w:val="28"/>
          <w:szCs w:val="28"/>
        </w:rPr>
        <w:t>ь коэффициента перед текущим притоком средств в фонды, а не перед притоком предыдущего периода, говорит о большей ориентации российских инвесторов на краткосрочную доходность, что может косвенно указывать на возможность наличия краткосрочных моментум-эффек</w:t>
      </w:r>
      <w:r>
        <w:rPr>
          <w:rFonts w:ascii="Times New Roman CYR" w:hAnsi="Times New Roman CYR" w:cs="Times New Roman CYR"/>
          <w:sz w:val="28"/>
          <w:szCs w:val="28"/>
        </w:rPr>
        <w:t xml:space="preserve">тов. Это согласуется с мнением Абрамова и Акшенцевой о большей спекулятивности </w:t>
      </w:r>
      <w:r>
        <w:rPr>
          <w:rFonts w:ascii="Times New Roman CYR" w:hAnsi="Times New Roman CYR" w:cs="Times New Roman CYR"/>
          <w:sz w:val="28"/>
          <w:szCs w:val="28"/>
        </w:rPr>
        <w:lastRenderedPageBreak/>
        <w:t xml:space="preserve">российских инвесторов по сравнению с иностранными </w:t>
      </w:r>
      <w:r>
        <w:rPr>
          <w:rFonts w:ascii="Times New Roman CYR" w:hAnsi="Times New Roman CYR" w:cs="Times New Roman CYR"/>
          <w:noProof/>
          <w:sz w:val="28"/>
          <w:szCs w:val="28"/>
        </w:rPr>
        <w:t>(Абрамов,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Наличие эффекта масштаба, то есть положительное влияние размера фонда на его результат согласуется с ре</w:t>
      </w:r>
      <w:r>
        <w:rPr>
          <w:rFonts w:ascii="Times New Roman CYR" w:hAnsi="Times New Roman CYR" w:cs="Times New Roman CYR"/>
          <w:sz w:val="28"/>
          <w:szCs w:val="28"/>
        </w:rPr>
        <w:t>зультатами Феррейра на развивающихся рынках</w:t>
      </w:r>
      <w:r>
        <w:rPr>
          <w:rFonts w:ascii="Times New Roman CYR" w:hAnsi="Times New Roman CYR" w:cs="Times New Roman CYR"/>
          <w:noProof/>
          <w:sz w:val="28"/>
          <w:szCs w:val="28"/>
        </w:rPr>
        <w:t xml:space="preserve"> (Ferreira, et al., 2013)</w:t>
      </w:r>
      <w:r>
        <w:rPr>
          <w:rFonts w:ascii="Times New Roman CYR" w:hAnsi="Times New Roman CYR" w:cs="Times New Roman CYR"/>
          <w:sz w:val="28"/>
          <w:szCs w:val="28"/>
        </w:rPr>
        <w:t>. Кроме того, отсутствие повышенных издержек по поддержанию ликвидности для более крупных фондов может быть связано с отсутствием паевых супермаркетов на российском рынке</w:t>
      </w:r>
      <w:r>
        <w:rPr>
          <w:rFonts w:ascii="Times New Roman CYR" w:hAnsi="Times New Roman CYR" w:cs="Times New Roman CYR"/>
          <w:noProof/>
          <w:sz w:val="28"/>
          <w:szCs w:val="28"/>
        </w:rPr>
        <w:t xml:space="preserve"> (Абрамов, и др., </w:t>
      </w:r>
      <w:r>
        <w:rPr>
          <w:rFonts w:ascii="Times New Roman CYR" w:hAnsi="Times New Roman CYR" w:cs="Times New Roman CYR"/>
          <w:noProof/>
          <w:sz w:val="28"/>
          <w:szCs w:val="28"/>
        </w:rPr>
        <w:t>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Отрицательный коэффициент перед возрастом фонда согласуется с литературой по данной тематике </w:t>
      </w:r>
      <w:r>
        <w:rPr>
          <w:rFonts w:ascii="Times New Roman CYR" w:hAnsi="Times New Roman CYR" w:cs="Times New Roman CYR"/>
          <w:noProof/>
          <w:sz w:val="28"/>
          <w:szCs w:val="28"/>
        </w:rPr>
        <w:t>(Ferreira, et al., 2013) (Абрамов, и др., 2014)</w:t>
      </w:r>
      <w:r>
        <w:rPr>
          <w:rFonts w:ascii="Times New Roman CYR" w:hAnsi="Times New Roman CYR" w:cs="Times New Roman CYR"/>
          <w:sz w:val="28"/>
          <w:szCs w:val="28"/>
        </w:rPr>
        <w:t>. В данной модели не зафиксировано изменение знака коэффициента перед возрастом фонда для подвыборки облигаци</w:t>
      </w:r>
      <w:r>
        <w:rPr>
          <w:rFonts w:ascii="Times New Roman CYR" w:hAnsi="Times New Roman CYR" w:cs="Times New Roman CYR"/>
          <w:sz w:val="28"/>
          <w:szCs w:val="28"/>
        </w:rPr>
        <w:t>й. Для регрессии на подвыборках фондов акций и облигаций направление влияния всех рассматриваемых факторов остается неизменным, правда ухудшается значимость показателей. Это может быть связано с размерами исследуемой выборки.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при тестировани</w:t>
      </w:r>
      <w:r>
        <w:rPr>
          <w:rFonts w:ascii="Times New Roman CYR" w:hAnsi="Times New Roman CYR" w:cs="Times New Roman CYR"/>
          <w:sz w:val="28"/>
          <w:szCs w:val="28"/>
        </w:rPr>
        <w:t>и модели (1.3) на данных были подтверждены гипотезы 7, 8 и 9, в то время как гипотезы 6, 7.1 и 10 не нашли своего подтверждения.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Проверка гипотезы 11 подразумевает добавление в модель фактора, отвечающего за наличие сделки слияния в течение последних 12 ме</w:t>
      </w:r>
      <w:r>
        <w:rPr>
          <w:rFonts w:ascii="Times New Roman CYR" w:hAnsi="Times New Roman CYR" w:cs="Times New Roman CYR"/>
          <w:sz w:val="28"/>
          <w:szCs w:val="28"/>
        </w:rPr>
        <w:t>сяцев. Так как для подвыборки поглощающих фондов зависимость факторов сохраняется, модель (2) модифицируется схожим образом.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(2.1):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602615"/>
            <wp:effectExtent l="19050" t="0" r="508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7"/>
                    <a:srcRect/>
                    <a:stretch>
                      <a:fillRect/>
                    </a:stretch>
                  </pic:blipFill>
                  <pic:spPr bwMode="auto">
                    <a:xfrm>
                      <a:off x="0" y="0"/>
                      <a:ext cx="5938520" cy="602615"/>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5225415" cy="522605"/>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7"/>
                    <a:srcRect/>
                    <a:stretch>
                      <a:fillRect/>
                    </a:stretch>
                  </pic:blipFill>
                  <pic:spPr bwMode="auto">
                    <a:xfrm>
                      <a:off x="0" y="0"/>
                      <a:ext cx="5225415" cy="52260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301625" cy="220980"/>
            <wp:effectExtent l="19050" t="0" r="3175"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01625" cy="220980"/>
            <wp:effectExtent l="19050" t="0" r="317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текущем периоде, </w:t>
      </w:r>
      <w:r w:rsidR="003549B8">
        <w:rPr>
          <w:rFonts w:ascii="Microsoft Sans Serif" w:hAnsi="Microsoft Sans Serif" w:cs="Microsoft Sans Serif"/>
          <w:noProof/>
          <w:sz w:val="17"/>
          <w:szCs w:val="17"/>
        </w:rPr>
        <w:drawing>
          <wp:inline distT="0" distB="0" distL="0" distR="0">
            <wp:extent cx="422275" cy="251460"/>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22275" cy="251460"/>
            <wp:effectExtent l="1905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предыдущем периоде, </w:t>
      </w:r>
      <w:r w:rsidR="003549B8">
        <w:rPr>
          <w:rFonts w:ascii="Microsoft Sans Serif" w:hAnsi="Microsoft Sans Serif" w:cs="Microsoft Sans Serif"/>
          <w:noProof/>
          <w:sz w:val="17"/>
          <w:szCs w:val="17"/>
        </w:rPr>
        <w:drawing>
          <wp:inline distT="0" distB="0" distL="0" distR="0">
            <wp:extent cx="431800" cy="180975"/>
            <wp:effectExtent l="19050" t="0" r="635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31800" cy="180975"/>
            <wp:effectExtent l="19050" t="0" r="635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w:t>
      </w:r>
      <w:r>
        <w:rPr>
          <w:rFonts w:ascii="Times New Roman CYR" w:hAnsi="Times New Roman CYR" w:cs="Times New Roman CYR"/>
          <w:sz w:val="28"/>
          <w:szCs w:val="28"/>
        </w:rPr>
        <w:lastRenderedPageBreak/>
        <w:t xml:space="preserve">- приток средств в фонд в текущем периоде, </w:t>
      </w:r>
      <w:r w:rsidR="003549B8">
        <w:rPr>
          <w:rFonts w:ascii="Microsoft Sans Serif" w:hAnsi="Microsoft Sans Serif" w:cs="Microsoft Sans Serif"/>
          <w:noProof/>
          <w:sz w:val="17"/>
          <w:szCs w:val="17"/>
        </w:rPr>
        <w:drawing>
          <wp:inline distT="0" distB="0" distL="0" distR="0">
            <wp:extent cx="653415" cy="200660"/>
            <wp:effectExtent l="1905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653415" cy="200660"/>
            <wp:effectExtent l="1905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предыдущем периоде, </w:t>
      </w:r>
      <w:r w:rsidR="003549B8">
        <w:rPr>
          <w:rFonts w:ascii="Microsoft Sans Serif" w:hAnsi="Microsoft Sans Serif" w:cs="Microsoft Sans Serif"/>
          <w:noProof/>
          <w:sz w:val="17"/>
          <w:szCs w:val="17"/>
        </w:rPr>
        <w:drawing>
          <wp:inline distT="0" distB="0" distL="0" distR="0">
            <wp:extent cx="552450" cy="180975"/>
            <wp:effectExtent l="1905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52450" cy="180975"/>
            <wp:effectExtent l="1905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логарифм чистых активов фонда, </w:t>
      </w:r>
      <w:r w:rsidR="003549B8">
        <w:rPr>
          <w:rFonts w:ascii="Microsoft Sans Serif" w:hAnsi="Microsoft Sans Serif" w:cs="Microsoft Sans Serif"/>
          <w:noProof/>
          <w:sz w:val="17"/>
          <w:szCs w:val="17"/>
        </w:rPr>
        <w:drawing>
          <wp:inline distT="0" distB="0" distL="0" distR="0">
            <wp:extent cx="351790" cy="180975"/>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возраст фонда с момента его основания, </w:t>
      </w:r>
      <w:r w:rsidR="003549B8">
        <w:rPr>
          <w:rFonts w:ascii="Microsoft Sans Serif" w:hAnsi="Microsoft Sans Serif" w:cs="Microsoft Sans Serif"/>
          <w:noProof/>
          <w:sz w:val="17"/>
          <w:szCs w:val="17"/>
        </w:rPr>
        <w:drawing>
          <wp:inline distT="0" distB="0" distL="0" distR="0">
            <wp:extent cx="321310" cy="180975"/>
            <wp:effectExtent l="19050" t="0" r="254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21310" cy="180975"/>
            <wp:effectExtent l="19050" t="0" r="254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2"/>
                    <a:srcRect/>
                    <a:stretch>
                      <a:fillRect/>
                    </a:stretch>
                  </pic:blipFill>
                  <pic:spPr bwMode="auto">
                    <a:xfrm>
                      <a:off x="0" y="0"/>
                      <a:ext cx="32131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объем финансовых инвестиций в РФ, </w:t>
      </w:r>
      <w:r>
        <w:rPr>
          <w:rFonts w:ascii="Times New Roman CYR" w:hAnsi="Times New Roman CYR" w:cs="Times New Roman CYR"/>
          <w:sz w:val="28"/>
          <w:szCs w:val="28"/>
          <w:lang w:val="en-US"/>
        </w:rPr>
        <w:t>D</w:t>
      </w:r>
      <w:r>
        <w:rPr>
          <w:rFonts w:ascii="Times New Roman CYR" w:hAnsi="Times New Roman CYR" w:cs="Times New Roman CYR"/>
          <w:sz w:val="28"/>
          <w:szCs w:val="28"/>
        </w:rPr>
        <w:t>07-</w:t>
      </w:r>
      <w:r>
        <w:rPr>
          <w:rFonts w:ascii="Times New Roman CYR" w:hAnsi="Times New Roman CYR" w:cs="Times New Roman CYR"/>
          <w:sz w:val="28"/>
          <w:szCs w:val="28"/>
          <w:lang w:val="en-US"/>
        </w:rPr>
        <w:t>D</w:t>
      </w:r>
      <w:r>
        <w:rPr>
          <w:rFonts w:ascii="Times New Roman CYR" w:hAnsi="Times New Roman CYR" w:cs="Times New Roman CYR"/>
          <w:sz w:val="28"/>
          <w:szCs w:val="28"/>
        </w:rPr>
        <w:t xml:space="preserve">14 - дамми-переменные, позволяющие учесть временные эффекты, </w:t>
      </w:r>
      <w:r w:rsidR="003549B8">
        <w:rPr>
          <w:rFonts w:ascii="Microsoft Sans Serif" w:hAnsi="Microsoft Sans Serif" w:cs="Microsoft Sans Serif"/>
          <w:noProof/>
          <w:sz w:val="17"/>
          <w:szCs w:val="17"/>
        </w:rPr>
        <w:drawing>
          <wp:inline distT="0" distB="0" distL="0" distR="0">
            <wp:extent cx="391795" cy="180975"/>
            <wp:effectExtent l="19050" t="0" r="825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91795" cy="180975"/>
            <wp:effectExtent l="19050" t="0" r="8255"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дамми-переменная, учитывающая сделки слияния в прошлом.</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оценивания данной модели не сильно отличаются от результатов модели (1.3), хотя значимость некоторых коэффициентов </w:t>
      </w:r>
      <w:r>
        <w:rPr>
          <w:rFonts w:ascii="Times New Roman CYR" w:hAnsi="Times New Roman CYR" w:cs="Times New Roman CYR"/>
          <w:sz w:val="28"/>
          <w:szCs w:val="28"/>
        </w:rPr>
        <w:t>убавилась. Оцененные коэффициенты перед регрессорами показаны в таблице 12, для удобства рядом указаны коэффициенты модели (1.3).</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2917"/>
        <w:gridCol w:w="1079"/>
        <w:gridCol w:w="669"/>
        <w:gridCol w:w="1006"/>
        <w:gridCol w:w="670"/>
      </w:tblGrid>
      <w:tr w:rsidR="00000000">
        <w:tblPrEx>
          <w:tblCellMar>
            <w:top w:w="0" w:type="dxa"/>
            <w:bottom w:w="0" w:type="dxa"/>
          </w:tblCellMar>
        </w:tblPrEx>
        <w:tc>
          <w:tcPr>
            <w:tcW w:w="6341"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12. Результаты тестирования моделей (1.3) и (2.1).</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Переменная</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w:t>
            </w:r>
            <w:r>
              <w:rPr>
                <w:rFonts w:ascii="Times New Roman CYR" w:hAnsi="Times New Roman CYR" w:cs="Times New Roman CYR"/>
                <w:sz w:val="20"/>
                <w:szCs w:val="20"/>
              </w:rPr>
              <w:t>3</w:t>
            </w:r>
            <w:r>
              <w:rPr>
                <w:rFonts w:ascii="Times New Roman CYR" w:hAnsi="Times New Roman CYR" w:cs="Times New Roman CYR"/>
                <w:sz w:val="20"/>
                <w:szCs w:val="20"/>
                <w:lang w:val="en-US"/>
              </w:rPr>
              <w:t>)</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-0.0648</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-0.0649</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411</w:t>
            </w:r>
            <w:r>
              <w:rPr>
                <w:rFonts w:ascii="Times New Roman CYR" w:hAnsi="Times New Roman CYR" w:cs="Times New Roman CYR"/>
                <w:sz w:val="20"/>
                <w:szCs w:val="20"/>
                <w:lang w:val="en-US"/>
              </w:rPr>
              <w:t xml:space="preserve"> </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0.0411</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w:t>
            </w: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-0.001</w:t>
            </w:r>
            <w:r>
              <w:rPr>
                <w:rFonts w:ascii="Times New Roman CYR" w:hAnsi="Times New Roman CYR" w:cs="Times New Roman CYR"/>
                <w:sz w:val="20"/>
                <w:szCs w:val="20"/>
              </w:rPr>
              <w:t>6</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-0.001</w:t>
            </w:r>
            <w:r>
              <w:rPr>
                <w:rFonts w:ascii="Times New Roman CYR" w:hAnsi="Times New Roman CYR" w:cs="Times New Roman CYR"/>
                <w:sz w:val="20"/>
                <w:szCs w:val="20"/>
                <w:lang w:val="en-US"/>
              </w:rPr>
              <w:t>5</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lnAUM</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0.021</w:t>
            </w:r>
            <w:r>
              <w:rPr>
                <w:rFonts w:ascii="Times New Roman CYR" w:hAnsi="Times New Roman CYR" w:cs="Times New Roman CYR"/>
                <w:sz w:val="20"/>
                <w:szCs w:val="20"/>
              </w:rPr>
              <w:t>2</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w:t>
            </w:r>
            <w:r>
              <w:rPr>
                <w:rFonts w:ascii="Times New Roman CYR" w:hAnsi="Times New Roman CYR" w:cs="Times New Roman CYR"/>
                <w:sz w:val="20"/>
                <w:szCs w:val="20"/>
                <w:lang w:val="en-US"/>
              </w:rPr>
              <w:t>21</w:t>
            </w:r>
            <w:r>
              <w:rPr>
                <w:rFonts w:ascii="Times New Roman CYR" w:hAnsi="Times New Roman CYR" w:cs="Times New Roman CYR"/>
                <w:sz w:val="20"/>
                <w:szCs w:val="20"/>
              </w:rPr>
              <w:t>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-0.008</w:t>
            </w:r>
            <w:r>
              <w:rPr>
                <w:rFonts w:ascii="Times New Roman CYR" w:hAnsi="Times New Roman CYR" w:cs="Times New Roman CYR"/>
                <w:sz w:val="20"/>
                <w:szCs w:val="20"/>
              </w:rPr>
              <w:t>6</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w:t>
            </w:r>
            <w:r>
              <w:rPr>
                <w:rFonts w:ascii="Times New Roman CYR" w:hAnsi="Times New Roman CYR" w:cs="Times New Roman CYR"/>
                <w:sz w:val="20"/>
                <w:szCs w:val="20"/>
                <w:lang w:val="en-US"/>
              </w:rPr>
              <w:t>8</w:t>
            </w:r>
            <w:r>
              <w:rPr>
                <w:rFonts w:ascii="Times New Roman CYR" w:hAnsi="Times New Roman CYR" w:cs="Times New Roman CYR"/>
                <w:sz w:val="20"/>
                <w:szCs w:val="20"/>
              </w:rPr>
              <w:t>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Inv</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-0.0000</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-0.0000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D07</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3044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30</w:t>
            </w:r>
            <w:r>
              <w:rPr>
                <w:rFonts w:ascii="Times New Roman CYR" w:hAnsi="Times New Roman CYR" w:cs="Times New Roman CYR"/>
                <w:sz w:val="20"/>
                <w:szCs w:val="20"/>
              </w:rPr>
              <w:t>97</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D08</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-0.9</w:t>
            </w:r>
            <w:r>
              <w:rPr>
                <w:rFonts w:ascii="Times New Roman CYR" w:hAnsi="Times New Roman CYR" w:cs="Times New Roman CYR"/>
                <w:sz w:val="20"/>
                <w:szCs w:val="20"/>
              </w:rPr>
              <w:t>776</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w:t>
            </w:r>
            <w:r>
              <w:rPr>
                <w:rFonts w:ascii="Times New Roman CYR" w:hAnsi="Times New Roman CYR" w:cs="Times New Roman CYR"/>
                <w:sz w:val="20"/>
                <w:szCs w:val="20"/>
                <w:lang w:val="en-US"/>
              </w:rPr>
              <w:t>9</w:t>
            </w:r>
            <w:r>
              <w:rPr>
                <w:rFonts w:ascii="Times New Roman CYR" w:hAnsi="Times New Roman CYR" w:cs="Times New Roman CYR"/>
                <w:sz w:val="20"/>
                <w:szCs w:val="20"/>
              </w:rPr>
              <w:t>820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D09</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0.8</w:t>
            </w:r>
            <w:r>
              <w:rPr>
                <w:rFonts w:ascii="Times New Roman CYR" w:hAnsi="Times New Roman CYR" w:cs="Times New Roman CYR"/>
                <w:sz w:val="20"/>
                <w:szCs w:val="20"/>
              </w:rPr>
              <w:t>131</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80</w:t>
            </w:r>
            <w:r>
              <w:rPr>
                <w:rFonts w:ascii="Times New Roman CYR" w:hAnsi="Times New Roman CYR" w:cs="Times New Roman CYR"/>
                <w:sz w:val="20"/>
                <w:szCs w:val="20"/>
              </w:rPr>
              <w:t>82</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D10</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w:t>
            </w:r>
            <w:r>
              <w:rPr>
                <w:rFonts w:ascii="Times New Roman CYR" w:hAnsi="Times New Roman CYR" w:cs="Times New Roman CYR"/>
                <w:sz w:val="20"/>
                <w:szCs w:val="20"/>
              </w:rPr>
              <w:t>385</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r>
              <w:rPr>
                <w:rFonts w:ascii="Times New Roman CYR" w:hAnsi="Times New Roman CYR" w:cs="Times New Roman CYR"/>
                <w:sz w:val="20"/>
                <w:szCs w:val="20"/>
              </w:rPr>
              <w:t>0.0</w:t>
            </w:r>
            <w:r>
              <w:rPr>
                <w:rFonts w:ascii="Times New Roman CYR" w:hAnsi="Times New Roman CYR" w:cs="Times New Roman CYR"/>
                <w:sz w:val="20"/>
                <w:szCs w:val="20"/>
                <w:lang w:val="en-US"/>
              </w:rPr>
              <w:t>426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-0.4</w:t>
            </w:r>
            <w:r>
              <w:rPr>
                <w:rFonts w:ascii="Times New Roman CYR" w:hAnsi="Times New Roman CYR" w:cs="Times New Roman CYR"/>
                <w:sz w:val="20"/>
                <w:szCs w:val="20"/>
              </w:rPr>
              <w:t>542</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45</w:t>
            </w:r>
            <w:r>
              <w:rPr>
                <w:rFonts w:ascii="Times New Roman CYR" w:hAnsi="Times New Roman CYR" w:cs="Times New Roman CYR"/>
                <w:sz w:val="20"/>
                <w:szCs w:val="20"/>
              </w:rPr>
              <w:t>73</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-0.32</w:t>
            </w:r>
            <w:r>
              <w:rPr>
                <w:rFonts w:ascii="Times New Roman CYR" w:hAnsi="Times New Roman CYR" w:cs="Times New Roman CYR"/>
                <w:sz w:val="20"/>
                <w:szCs w:val="20"/>
              </w:rPr>
              <w:t>27</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32</w:t>
            </w:r>
            <w:r>
              <w:rPr>
                <w:rFonts w:ascii="Times New Roman CYR" w:hAnsi="Times New Roman CYR" w:cs="Times New Roman CYR"/>
                <w:sz w:val="20"/>
                <w:szCs w:val="20"/>
              </w:rPr>
              <w:t>58</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w:t>
            </w: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D13</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-0.28</w:t>
            </w:r>
            <w:r>
              <w:rPr>
                <w:rFonts w:ascii="Times New Roman CYR" w:hAnsi="Times New Roman CYR" w:cs="Times New Roman CYR"/>
                <w:sz w:val="20"/>
                <w:szCs w:val="20"/>
              </w:rPr>
              <w:t>61</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28</w:t>
            </w:r>
            <w:r>
              <w:rPr>
                <w:rFonts w:ascii="Times New Roman CYR" w:hAnsi="Times New Roman CYR" w:cs="Times New Roman CYR"/>
                <w:sz w:val="20"/>
                <w:szCs w:val="20"/>
              </w:rPr>
              <w:t>89</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w:t>
            </w: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D14</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-0.20</w:t>
            </w:r>
            <w:r>
              <w:rPr>
                <w:rFonts w:ascii="Times New Roman CYR" w:hAnsi="Times New Roman CYR" w:cs="Times New Roman CYR"/>
                <w:sz w:val="20"/>
                <w:szCs w:val="20"/>
              </w:rPr>
              <w:t>00</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-0.1</w:t>
            </w:r>
            <w:r>
              <w:rPr>
                <w:rFonts w:ascii="Times New Roman CYR" w:hAnsi="Times New Roman CYR" w:cs="Times New Roman CYR"/>
                <w:sz w:val="20"/>
                <w:szCs w:val="20"/>
                <w:lang w:val="en-US"/>
              </w:rPr>
              <w:t>9</w:t>
            </w:r>
            <w:r>
              <w:rPr>
                <w:rFonts w:ascii="Times New Roman CYR" w:hAnsi="Times New Roman CYR" w:cs="Times New Roman CYR"/>
                <w:sz w:val="20"/>
                <w:szCs w:val="20"/>
              </w:rPr>
              <w:t>76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M12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-0.0134</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Скорректированный R2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796</w:t>
            </w:r>
            <w:r>
              <w:rPr>
                <w:rFonts w:ascii="Times New Roman CYR" w:hAnsi="Times New Roman CYR" w:cs="Times New Roman CYR"/>
                <w:sz w:val="20"/>
                <w:szCs w:val="20"/>
              </w:rPr>
              <w:t>5</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w:t>
            </w:r>
            <w:r>
              <w:rPr>
                <w:rFonts w:ascii="Times New Roman CYR" w:hAnsi="Times New Roman CYR" w:cs="Times New Roman CYR"/>
                <w:sz w:val="20"/>
                <w:szCs w:val="20"/>
                <w:lang w:val="en-US"/>
              </w:rPr>
              <w:t>96</w:t>
            </w:r>
            <w:r>
              <w:rPr>
                <w:rFonts w:ascii="Times New Roman CYR" w:hAnsi="Times New Roman CYR" w:cs="Times New Roman CYR"/>
                <w:sz w:val="20"/>
                <w:szCs w:val="20"/>
              </w:rPr>
              <w:t>2</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F-</w:t>
            </w:r>
            <w:r>
              <w:rPr>
                <w:rFonts w:ascii="Times New Roman CYR" w:hAnsi="Times New Roman CYR" w:cs="Times New Roman CYR"/>
                <w:sz w:val="20"/>
                <w:szCs w:val="20"/>
              </w:rPr>
              <w:t>статистика</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166.24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15</w:t>
            </w:r>
            <w:r>
              <w:rPr>
                <w:rFonts w:ascii="Times New Roman CYR" w:hAnsi="Times New Roman CYR" w:cs="Times New Roman CYR"/>
                <w:sz w:val="20"/>
                <w:szCs w:val="20"/>
              </w:rPr>
              <w:t>4.91</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6341"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Звездочки показывают уровень значимости: *** - 1%, ** - 5%, * - 10% Источник: р</w:t>
            </w:r>
            <w:r>
              <w:rPr>
                <w:rFonts w:ascii="Times New Roman CYR" w:hAnsi="Times New Roman CYR" w:cs="Times New Roman CYR"/>
                <w:sz w:val="20"/>
                <w:szCs w:val="20"/>
              </w:rPr>
              <w:t>асчеты автора</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видно из таблицы 12, направление влияния значимых факторов осталось тем же, а значения коэффициентов изменились не сильно. Участие фонда в слиянии в течение последних 12 месяцев не оказывает значимого влияния на избыточную доходность фо</w:t>
      </w:r>
      <w:r>
        <w:rPr>
          <w:rFonts w:ascii="Times New Roman CYR" w:hAnsi="Times New Roman CYR" w:cs="Times New Roman CYR"/>
          <w:sz w:val="28"/>
          <w:szCs w:val="28"/>
        </w:rPr>
        <w:t>нда. Гипотеза 11 не находит своего подтверждения.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было обнаружено положительное влияние на избыточную доходность фонда таких показателей как приток инвестиций в текущем периоде и размер фонда, в то время как возраст фонда оказывает значимое </w:t>
      </w:r>
      <w:r>
        <w:rPr>
          <w:rFonts w:ascii="Times New Roman CYR" w:hAnsi="Times New Roman CYR" w:cs="Times New Roman CYR"/>
          <w:sz w:val="28"/>
          <w:szCs w:val="28"/>
        </w:rPr>
        <w:t xml:space="preserve">отрицательное влияние на его избыточную доходность. Доходность и приток </w:t>
      </w:r>
      <w:r>
        <w:rPr>
          <w:rFonts w:ascii="Times New Roman CYR" w:hAnsi="Times New Roman CYR" w:cs="Times New Roman CYR"/>
          <w:sz w:val="28"/>
          <w:szCs w:val="28"/>
        </w:rPr>
        <w:lastRenderedPageBreak/>
        <w:t>средств в прошлом периоде не оказывают значимого влияния на текущую избыточную доходность, как и общие расходы фонда, и его участие в сделке слияния в течение последних 12 месяцев.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3.</w:t>
      </w:r>
      <w:r>
        <w:rPr>
          <w:rFonts w:ascii="Times New Roman CYR" w:hAnsi="Times New Roman CYR" w:cs="Times New Roman CYR"/>
          <w:b/>
          <w:bCs/>
          <w:sz w:val="28"/>
          <w:szCs w:val="28"/>
        </w:rPr>
        <w:t>2</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Факторы, влияющие на приток средств в российские ПИФы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анализа динамики притока средств в российские ПИФы были выбраны следующие факторы: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1.</w:t>
      </w:r>
      <w:r>
        <w:rPr>
          <w:rFonts w:ascii="Times New Roman CYR" w:hAnsi="Times New Roman CYR" w:cs="Times New Roman CYR"/>
          <w:i/>
          <w:iCs/>
          <w:sz w:val="28"/>
          <w:szCs w:val="28"/>
        </w:rPr>
        <w:tab/>
        <w:t>Избыточная доходность текущего и предыдущего года.</w:t>
      </w:r>
      <w:r>
        <w:rPr>
          <w:rFonts w:ascii="Times New Roman CYR" w:hAnsi="Times New Roman CYR" w:cs="Times New Roman CYR"/>
          <w:sz w:val="28"/>
          <w:szCs w:val="28"/>
        </w:rPr>
        <w:t xml:space="preserve"> Предполагается положительное влияние данной переменной на </w:t>
      </w:r>
      <w:r>
        <w:rPr>
          <w:rFonts w:ascii="Times New Roman CYR" w:hAnsi="Times New Roman CYR" w:cs="Times New Roman CYR"/>
          <w:sz w:val="28"/>
          <w:szCs w:val="28"/>
        </w:rPr>
        <w:t>объясняемую, в соответствии с рациональным поведением инвесторов и ориентацией на фонды, показывающие хорошие результаты.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2.</w:t>
      </w:r>
      <w:r>
        <w:rPr>
          <w:rFonts w:ascii="Times New Roman CYR" w:hAnsi="Times New Roman CYR" w:cs="Times New Roman CYR"/>
          <w:i/>
          <w:iCs/>
          <w:sz w:val="28"/>
          <w:szCs w:val="28"/>
        </w:rPr>
        <w:tab/>
        <w:t xml:space="preserve">Приток средств предыдущего года. </w:t>
      </w:r>
      <w:r>
        <w:rPr>
          <w:rFonts w:ascii="Times New Roman CYR" w:hAnsi="Times New Roman CYR" w:cs="Times New Roman CYR"/>
          <w:sz w:val="28"/>
          <w:szCs w:val="28"/>
        </w:rPr>
        <w:t>Предполагается положительная зависимость, так как приток средств от других инвесторов может служит</w:t>
      </w:r>
      <w:r>
        <w:rPr>
          <w:rFonts w:ascii="Times New Roman CYR" w:hAnsi="Times New Roman CYR" w:cs="Times New Roman CYR"/>
          <w:sz w:val="28"/>
          <w:szCs w:val="28"/>
        </w:rPr>
        <w:t>ь индикатором доверия к фонду</w:t>
      </w:r>
      <w:r>
        <w:rPr>
          <w:rFonts w:ascii="Times New Roman CYR" w:hAnsi="Times New Roman CYR" w:cs="Times New Roman CYR"/>
          <w:noProof/>
          <w:sz w:val="28"/>
          <w:szCs w:val="28"/>
        </w:rPr>
        <w:t xml:space="preserve"> (Chou, et al.,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3.</w:t>
      </w:r>
      <w:r>
        <w:rPr>
          <w:rFonts w:ascii="Times New Roman CYR" w:hAnsi="Times New Roman CYR" w:cs="Times New Roman CYR"/>
          <w:i/>
          <w:iCs/>
          <w:sz w:val="28"/>
          <w:szCs w:val="28"/>
        </w:rPr>
        <w:tab/>
        <w:t>Размер чистых активов фонда.</w:t>
      </w:r>
      <w:r>
        <w:rPr>
          <w:rFonts w:ascii="Times New Roman CYR" w:hAnsi="Times New Roman CYR" w:cs="Times New Roman CYR"/>
          <w:sz w:val="28"/>
          <w:szCs w:val="28"/>
        </w:rPr>
        <w:t xml:space="preserve"> Предполагается положительное влияние на приток средств с учетом особенностей российского рынка. Инвесторы в России больше склонны доверять большим компаниям и большим фонда</w:t>
      </w:r>
      <w:r>
        <w:rPr>
          <w:rFonts w:ascii="Times New Roman CYR" w:hAnsi="Times New Roman CYR" w:cs="Times New Roman CYR"/>
          <w:sz w:val="28"/>
          <w:szCs w:val="28"/>
        </w:rPr>
        <w:t>м, а издержки ликвидности фондов в России не увеличиваются с увеличением размера фонда</w:t>
      </w:r>
      <w:r>
        <w:rPr>
          <w:rFonts w:ascii="Times New Roman CYR" w:hAnsi="Times New Roman CYR" w:cs="Times New Roman CYR"/>
          <w:noProof/>
          <w:sz w:val="28"/>
          <w:szCs w:val="28"/>
        </w:rPr>
        <w:t xml:space="preserve"> (Абрамов,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4.</w:t>
      </w:r>
      <w:r>
        <w:rPr>
          <w:rFonts w:ascii="Times New Roman CYR" w:hAnsi="Times New Roman CYR" w:cs="Times New Roman CYR"/>
          <w:i/>
          <w:iCs/>
          <w:sz w:val="28"/>
          <w:szCs w:val="28"/>
        </w:rPr>
        <w:tab/>
        <w:t>Возраст фонда.</w:t>
      </w:r>
      <w:r>
        <w:rPr>
          <w:rFonts w:ascii="Times New Roman CYR" w:hAnsi="Times New Roman CYR" w:cs="Times New Roman CYR"/>
          <w:sz w:val="28"/>
          <w:szCs w:val="28"/>
        </w:rPr>
        <w:t xml:space="preserve"> Предполагается отрицательная взаимосвязь с притоком средств в фонды, связанная с меньшей эффективностью более зрелых фондов </w:t>
      </w:r>
      <w:r>
        <w:rPr>
          <w:rFonts w:ascii="Times New Roman CYR" w:hAnsi="Times New Roman CYR" w:cs="Times New Roman CYR"/>
          <w:noProof/>
          <w:sz w:val="28"/>
          <w:szCs w:val="28"/>
        </w:rPr>
        <w:t>(Fe</w:t>
      </w:r>
      <w:r>
        <w:rPr>
          <w:rFonts w:ascii="Times New Roman CYR" w:hAnsi="Times New Roman CYR" w:cs="Times New Roman CYR"/>
          <w:noProof/>
          <w:sz w:val="28"/>
          <w:szCs w:val="28"/>
        </w:rPr>
        <w:t>rreira, et al., 2013)</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5.</w:t>
      </w:r>
      <w:r>
        <w:rPr>
          <w:rFonts w:ascii="Times New Roman CYR" w:hAnsi="Times New Roman CYR" w:cs="Times New Roman CYR"/>
          <w:i/>
          <w:iCs/>
          <w:sz w:val="28"/>
          <w:szCs w:val="28"/>
        </w:rPr>
        <w:tab/>
        <w:t>Комиссии за управление фондом.</w:t>
      </w:r>
      <w:r>
        <w:rPr>
          <w:rFonts w:ascii="Times New Roman CYR" w:hAnsi="Times New Roman CYR" w:cs="Times New Roman CYR"/>
          <w:sz w:val="28"/>
          <w:szCs w:val="28"/>
        </w:rPr>
        <w:t xml:space="preserve"> Предполагается отрицательная зависимость в соответствии с результатами Джаярамана и Шинозава</w:t>
      </w:r>
      <w:r>
        <w:rPr>
          <w:rFonts w:ascii="Times New Roman CYR" w:hAnsi="Times New Roman CYR" w:cs="Times New Roman CYR"/>
          <w:noProof/>
          <w:sz w:val="28"/>
          <w:szCs w:val="28"/>
        </w:rPr>
        <w:t xml:space="preserve"> (Jayaraman, et al., 2002) (Shinozawa, et al., 2015)</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6.</w:t>
      </w:r>
      <w:r>
        <w:rPr>
          <w:rFonts w:ascii="Times New Roman CYR" w:hAnsi="Times New Roman CYR" w:cs="Times New Roman CYR"/>
          <w:i/>
          <w:iCs/>
          <w:sz w:val="28"/>
          <w:szCs w:val="28"/>
        </w:rPr>
        <w:tab/>
        <w:t>Комиссии при покупке паев.</w:t>
      </w:r>
      <w:r>
        <w:rPr>
          <w:rFonts w:ascii="Times New Roman CYR" w:hAnsi="Times New Roman CYR" w:cs="Times New Roman CYR"/>
          <w:sz w:val="28"/>
          <w:szCs w:val="28"/>
        </w:rPr>
        <w:t xml:space="preserve"> Предполагается отрицате</w:t>
      </w:r>
      <w:r>
        <w:rPr>
          <w:rFonts w:ascii="Times New Roman CYR" w:hAnsi="Times New Roman CYR" w:cs="Times New Roman CYR"/>
          <w:sz w:val="28"/>
          <w:szCs w:val="28"/>
        </w:rPr>
        <w:t>льная зависимость в соответствии с накладыванием ограничения на приток средств. В качестве данной переменной выбирается максимально возможная комиссия, так как чаще всего это комиссия, взимаемая с самых маленьких объемов инвестиций, а значит уплачиваемая б</w:t>
      </w:r>
      <w:r>
        <w:rPr>
          <w:rFonts w:ascii="Times New Roman CYR" w:hAnsi="Times New Roman CYR" w:cs="Times New Roman CYR"/>
          <w:sz w:val="28"/>
          <w:szCs w:val="28"/>
        </w:rPr>
        <w:t>ольшим числом розничных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7.</w:t>
      </w:r>
      <w:r>
        <w:rPr>
          <w:rFonts w:ascii="Times New Roman CYR" w:hAnsi="Times New Roman CYR" w:cs="Times New Roman CYR"/>
          <w:i/>
          <w:iCs/>
          <w:sz w:val="28"/>
          <w:szCs w:val="28"/>
        </w:rPr>
        <w:tab/>
        <w:t>Комиссии при продаже паев.</w:t>
      </w:r>
      <w:r>
        <w:rPr>
          <w:rFonts w:ascii="Times New Roman CYR" w:hAnsi="Times New Roman CYR" w:cs="Times New Roman CYR"/>
          <w:sz w:val="28"/>
          <w:szCs w:val="28"/>
        </w:rPr>
        <w:t xml:space="preserve"> Предполагается положительная </w:t>
      </w:r>
      <w:r>
        <w:rPr>
          <w:rFonts w:ascii="Times New Roman CYR" w:hAnsi="Times New Roman CYR" w:cs="Times New Roman CYR"/>
          <w:sz w:val="28"/>
          <w:szCs w:val="28"/>
        </w:rPr>
        <w:lastRenderedPageBreak/>
        <w:t>зависимость в соответствии с накладыванием ограничения на отток средств. В качестве данной переменной выбирается максимально возможная комиссия, так как чаще все</w:t>
      </w:r>
      <w:r>
        <w:rPr>
          <w:rFonts w:ascii="Times New Roman CYR" w:hAnsi="Times New Roman CYR" w:cs="Times New Roman CYR"/>
          <w:sz w:val="28"/>
          <w:szCs w:val="28"/>
        </w:rPr>
        <w:t>го это комиссия, взимаемая с самых маленьких объемов инвестиций, а значит уплачиваемая большим числом розничных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8.</w:t>
      </w:r>
      <w:r>
        <w:rPr>
          <w:rFonts w:ascii="Times New Roman CYR" w:hAnsi="Times New Roman CYR" w:cs="Times New Roman CYR"/>
          <w:i/>
          <w:iCs/>
          <w:sz w:val="28"/>
          <w:szCs w:val="28"/>
        </w:rPr>
        <w:tab/>
        <w:t>Участие в сделке слияния в предыдущем году.</w:t>
      </w:r>
      <w:r>
        <w:rPr>
          <w:rFonts w:ascii="Times New Roman CYR" w:hAnsi="Times New Roman CYR" w:cs="Times New Roman CYR"/>
          <w:sz w:val="28"/>
          <w:szCs w:val="28"/>
        </w:rPr>
        <w:t xml:space="preserve"> Предполагается, что данный фактор должен иметь отрицательное влияние на приток средст</w:t>
      </w:r>
      <w:r>
        <w:rPr>
          <w:rFonts w:ascii="Times New Roman CYR" w:hAnsi="Times New Roman CYR" w:cs="Times New Roman CYR"/>
          <w:sz w:val="28"/>
          <w:szCs w:val="28"/>
        </w:rPr>
        <w:t>в, как показывает однофакторный анализ ранее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9.</w:t>
      </w:r>
      <w:r>
        <w:rPr>
          <w:rFonts w:ascii="Times New Roman CYR" w:hAnsi="Times New Roman CYR" w:cs="Times New Roman CYR"/>
          <w:i/>
          <w:iCs/>
          <w:sz w:val="28"/>
          <w:szCs w:val="28"/>
        </w:rPr>
        <w:tab/>
        <w:t>Приток средств в фонды данной категории.</w:t>
      </w:r>
      <w:r>
        <w:rPr>
          <w:rFonts w:ascii="Times New Roman CYR" w:hAnsi="Times New Roman CYR" w:cs="Times New Roman CYR"/>
          <w:sz w:val="28"/>
          <w:szCs w:val="28"/>
        </w:rPr>
        <w:t xml:space="preserve"> Контрольная переменная, рассчитываемая как средний приток средств в фонды данной категории (акций или облигаций) в ткущем году.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будут проверяться следую</w:t>
      </w:r>
      <w:r>
        <w:rPr>
          <w:rFonts w:ascii="Times New Roman CYR" w:hAnsi="Times New Roman CYR" w:cs="Times New Roman CYR"/>
          <w:sz w:val="28"/>
          <w:szCs w:val="28"/>
        </w:rPr>
        <w:t>щие гипотезы.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12.</w:t>
      </w:r>
      <w:r>
        <w:rPr>
          <w:rFonts w:ascii="Times New Roman CYR" w:hAnsi="Times New Roman CYR" w:cs="Times New Roman CYR"/>
          <w:sz w:val="28"/>
          <w:szCs w:val="28"/>
        </w:rPr>
        <w:t xml:space="preserve"> Избыточная доходность текущего года положительно влияет на текущий приток средств в российские ПИФы.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12.1.</w:t>
      </w:r>
      <w:r>
        <w:rPr>
          <w:rFonts w:ascii="Times New Roman CYR" w:hAnsi="Times New Roman CYR" w:cs="Times New Roman CYR"/>
          <w:sz w:val="28"/>
          <w:szCs w:val="28"/>
        </w:rPr>
        <w:t xml:space="preserve"> Избыточная доходность предыдущего периода положительно влияет на текущий приток средств в российские ПИФы.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w:t>
      </w:r>
      <w:r>
        <w:rPr>
          <w:rFonts w:ascii="Times New Roman CYR" w:hAnsi="Times New Roman CYR" w:cs="Times New Roman CYR"/>
          <w:i/>
          <w:iCs/>
          <w:sz w:val="28"/>
          <w:szCs w:val="28"/>
        </w:rPr>
        <w:t>за 13.</w:t>
      </w:r>
      <w:r>
        <w:rPr>
          <w:rFonts w:ascii="Times New Roman CYR" w:hAnsi="Times New Roman CYR" w:cs="Times New Roman CYR"/>
          <w:sz w:val="28"/>
          <w:szCs w:val="28"/>
        </w:rPr>
        <w:t xml:space="preserve"> Приток инвестиций в ПИФы в предыдущем году положительно влияет на приток инвестиций в текущем году.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14.</w:t>
      </w:r>
      <w:r>
        <w:rPr>
          <w:rFonts w:ascii="Times New Roman CYR" w:hAnsi="Times New Roman CYR" w:cs="Times New Roman CYR"/>
          <w:sz w:val="28"/>
          <w:szCs w:val="28"/>
        </w:rPr>
        <w:t xml:space="preserve"> Размер чистых активов ПИФа положительно влияет на его текущий приток средств.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15.</w:t>
      </w:r>
      <w:r>
        <w:rPr>
          <w:rFonts w:ascii="Times New Roman CYR" w:hAnsi="Times New Roman CYR" w:cs="Times New Roman CYR"/>
          <w:sz w:val="28"/>
          <w:szCs w:val="28"/>
        </w:rPr>
        <w:t xml:space="preserve"> Возраст фонда отрицательно влияет на его теку</w:t>
      </w:r>
      <w:r>
        <w:rPr>
          <w:rFonts w:ascii="Times New Roman CYR" w:hAnsi="Times New Roman CYR" w:cs="Times New Roman CYR"/>
          <w:sz w:val="28"/>
          <w:szCs w:val="28"/>
        </w:rPr>
        <w:t>щий приток средств.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16.</w:t>
      </w:r>
      <w:r>
        <w:rPr>
          <w:rFonts w:ascii="Times New Roman CYR" w:hAnsi="Times New Roman CYR" w:cs="Times New Roman CYR"/>
          <w:sz w:val="28"/>
          <w:szCs w:val="28"/>
        </w:rPr>
        <w:t xml:space="preserve"> Комиссии за управление фондом отрицательно влияют на приток средств в него.</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17.</w:t>
      </w:r>
      <w:r>
        <w:rPr>
          <w:rFonts w:ascii="Times New Roman CYR" w:hAnsi="Times New Roman CYR" w:cs="Times New Roman CYR"/>
          <w:sz w:val="28"/>
          <w:szCs w:val="28"/>
        </w:rPr>
        <w:t xml:space="preserve"> Комиссия при покупке паев (надбавка) отрицательно влияет на приток инвестиций в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Гипотеза 18. </w:t>
      </w:r>
      <w:r>
        <w:rPr>
          <w:rFonts w:ascii="Times New Roman CYR" w:hAnsi="Times New Roman CYR" w:cs="Times New Roman CYR"/>
          <w:sz w:val="28"/>
          <w:szCs w:val="28"/>
        </w:rPr>
        <w:t>Комиссии при продаже паев (скидка)</w:t>
      </w:r>
      <w:r>
        <w:rPr>
          <w:rFonts w:ascii="Times New Roman CYR" w:hAnsi="Times New Roman CYR" w:cs="Times New Roman CYR"/>
          <w:sz w:val="28"/>
          <w:szCs w:val="28"/>
        </w:rPr>
        <w:t xml:space="preserve"> положительно влияют на приток инвестиций в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Гипотеза 19.</w:t>
      </w:r>
      <w:r>
        <w:rPr>
          <w:rFonts w:ascii="Times New Roman CYR" w:hAnsi="Times New Roman CYR" w:cs="Times New Roman CYR"/>
          <w:sz w:val="28"/>
          <w:szCs w:val="28"/>
        </w:rPr>
        <w:t xml:space="preserve"> Участие фонда в сделке слияния в течение предыдущих 12 </w:t>
      </w:r>
      <w:r>
        <w:rPr>
          <w:rFonts w:ascii="Times New Roman CYR" w:hAnsi="Times New Roman CYR" w:cs="Times New Roman CYR"/>
          <w:sz w:val="28"/>
          <w:szCs w:val="28"/>
        </w:rPr>
        <w:lastRenderedPageBreak/>
        <w:t>месяцев отрицательно влияет на приток инвестиций в фонд.</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тестирования этих гипотез были построены модели (3) и (4). Как и в случае с </w:t>
      </w:r>
      <w:r>
        <w:rPr>
          <w:rFonts w:ascii="Times New Roman CYR" w:hAnsi="Times New Roman CYR" w:cs="Times New Roman CYR"/>
          <w:sz w:val="28"/>
          <w:szCs w:val="28"/>
        </w:rPr>
        <w:t>моделями (1) и (2), модель (3) предназначена для тестирования гипотез 12-18, а модель (4) проверяет влияние добавления переменной, показывающей наличие сделки слияния в прошлом и предназначена для тестирования гипотез 12-19.</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431800"/>
            <wp:effectExtent l="19050" t="0" r="508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8"/>
                    <a:srcRect/>
                    <a:stretch>
                      <a:fillRect/>
                    </a:stretch>
                  </pic:blipFill>
                  <pic:spPr bwMode="auto">
                    <a:xfrm>
                      <a:off x="0" y="0"/>
                      <a:ext cx="5938520" cy="431800"/>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4994275" cy="361950"/>
            <wp:effectExtent l="1905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8"/>
                    <a:srcRect/>
                    <a:stretch>
                      <a:fillRect/>
                    </a:stretch>
                  </pic:blipFill>
                  <pic:spPr bwMode="auto">
                    <a:xfrm>
                      <a:off x="0" y="0"/>
                      <a:ext cx="4994275" cy="36195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(4):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431800"/>
            <wp:effectExtent l="19050" t="0" r="508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9"/>
                    <a:srcRect/>
                    <a:stretch>
                      <a:fillRect/>
                    </a:stretch>
                  </pic:blipFill>
                  <pic:spPr bwMode="auto">
                    <a:xfrm>
                      <a:off x="0" y="0"/>
                      <a:ext cx="5938520" cy="431800"/>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5054600" cy="361950"/>
            <wp:effectExtent l="1905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9"/>
                    <a:srcRect/>
                    <a:stretch>
                      <a:fillRect/>
                    </a:stretch>
                  </pic:blipFill>
                  <pic:spPr bwMode="auto">
                    <a:xfrm>
                      <a:off x="0" y="0"/>
                      <a:ext cx="5054600" cy="36195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sidR="003549B8">
        <w:rPr>
          <w:rFonts w:ascii="Microsoft Sans Serif" w:hAnsi="Microsoft Sans Serif" w:cs="Microsoft Sans Serif"/>
          <w:noProof/>
          <w:sz w:val="17"/>
          <w:szCs w:val="17"/>
        </w:rPr>
        <w:drawing>
          <wp:inline distT="0" distB="0" distL="0" distR="0">
            <wp:extent cx="431800" cy="180975"/>
            <wp:effectExtent l="19050" t="0" r="635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31800" cy="180975"/>
            <wp:effectExtent l="19050" t="0" r="635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7"/>
                    <a:srcRect/>
                    <a:stretch>
                      <a:fillRect/>
                    </a:stretch>
                  </pic:blipFill>
                  <pic:spPr bwMode="auto">
                    <a:xfrm>
                      <a:off x="0" y="0"/>
                      <a:ext cx="43180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текущем периоде, </w:t>
      </w:r>
      <w:r w:rsidR="003549B8">
        <w:rPr>
          <w:rFonts w:ascii="Microsoft Sans Serif" w:hAnsi="Microsoft Sans Serif" w:cs="Microsoft Sans Serif"/>
          <w:noProof/>
          <w:sz w:val="17"/>
          <w:szCs w:val="17"/>
        </w:rPr>
        <w:drawing>
          <wp:inline distT="0" distB="0" distL="0" distR="0">
            <wp:extent cx="301625" cy="220980"/>
            <wp:effectExtent l="19050" t="0" r="3175"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01625" cy="220980"/>
            <wp:effectExtent l="19050" t="0" r="3175"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5"/>
                    <a:srcRect/>
                    <a:stretch>
                      <a:fillRect/>
                    </a:stretch>
                  </pic:blipFill>
                  <pic:spPr bwMode="auto">
                    <a:xfrm>
                      <a:off x="0" y="0"/>
                      <a:ext cx="301625" cy="22098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текущем периоде, </w:t>
      </w:r>
      <w:r w:rsidR="003549B8">
        <w:rPr>
          <w:rFonts w:ascii="Microsoft Sans Serif" w:hAnsi="Microsoft Sans Serif" w:cs="Microsoft Sans Serif"/>
          <w:noProof/>
          <w:sz w:val="17"/>
          <w:szCs w:val="17"/>
        </w:rPr>
        <w:drawing>
          <wp:inline distT="0" distB="0" distL="0" distR="0">
            <wp:extent cx="422275" cy="251460"/>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422275" cy="251460"/>
            <wp:effectExtent l="1905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6"/>
                    <a:srcRect/>
                    <a:stretch>
                      <a:fillRect/>
                    </a:stretch>
                  </pic:blipFill>
                  <pic:spPr bwMode="auto">
                    <a:xfrm>
                      <a:off x="0" y="0"/>
                      <a:ext cx="422275" cy="2514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избыточная доходность фонда в предыдущем периоде, </w:t>
      </w:r>
      <w:r w:rsidR="003549B8">
        <w:rPr>
          <w:rFonts w:ascii="Microsoft Sans Serif" w:hAnsi="Microsoft Sans Serif" w:cs="Microsoft Sans Serif"/>
          <w:noProof/>
          <w:sz w:val="17"/>
          <w:szCs w:val="17"/>
        </w:rPr>
        <w:drawing>
          <wp:inline distT="0" distB="0" distL="0" distR="0">
            <wp:extent cx="653415" cy="200660"/>
            <wp:effectExtent l="1905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653415" cy="200660"/>
            <wp:effectExtent l="1905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8"/>
                    <a:srcRect/>
                    <a:stretch>
                      <a:fillRect/>
                    </a:stretch>
                  </pic:blipFill>
                  <pic:spPr bwMode="auto">
                    <a:xfrm>
                      <a:off x="0" y="0"/>
                      <a:ext cx="653415" cy="200660"/>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приток средств в фонд в предыдущем периоде, </w:t>
      </w:r>
      <w:r w:rsidR="003549B8">
        <w:rPr>
          <w:rFonts w:ascii="Microsoft Sans Serif" w:hAnsi="Microsoft Sans Serif" w:cs="Microsoft Sans Serif"/>
          <w:noProof/>
          <w:sz w:val="17"/>
          <w:szCs w:val="17"/>
        </w:rPr>
        <w:drawing>
          <wp:inline distT="0" distB="0" distL="0" distR="0">
            <wp:extent cx="552450" cy="180975"/>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552450" cy="180975"/>
            <wp:effectExtent l="1905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9"/>
                    <a:srcRect/>
                    <a:stretch>
                      <a:fillRect/>
                    </a:stretch>
                  </pic:blipFill>
                  <pic:spPr bwMode="auto">
                    <a:xfrm>
                      <a:off x="0" y="0"/>
                      <a:ext cx="55245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логарифм чистых активов фонда, </w:t>
      </w:r>
      <w:r w:rsidR="003549B8">
        <w:rPr>
          <w:rFonts w:ascii="Microsoft Sans Serif" w:hAnsi="Microsoft Sans Serif" w:cs="Microsoft Sans Serif"/>
          <w:noProof/>
          <w:sz w:val="17"/>
          <w:szCs w:val="17"/>
        </w:rPr>
        <w:drawing>
          <wp:inline distT="0" distB="0" distL="0" distR="0">
            <wp:extent cx="351790" cy="180975"/>
            <wp:effectExtent l="1905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0"/>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возраст фонда с момента его основания, </w:t>
      </w:r>
      <w:r w:rsidR="003549B8">
        <w:rPr>
          <w:rFonts w:ascii="Microsoft Sans Serif" w:hAnsi="Microsoft Sans Serif" w:cs="Microsoft Sans Serif"/>
          <w:noProof/>
          <w:sz w:val="17"/>
          <w:szCs w:val="17"/>
        </w:rPr>
        <w:drawing>
          <wp:inline distT="0" distB="0" distL="0" distR="0">
            <wp:extent cx="331470" cy="180975"/>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0"/>
                    <a:srcRect/>
                    <a:stretch>
                      <a:fillRect/>
                    </a:stretch>
                  </pic:blipFill>
                  <pic:spPr bwMode="auto">
                    <a:xfrm>
                      <a:off x="0" y="0"/>
                      <a:ext cx="33147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31470" cy="180975"/>
            <wp:effectExtent l="1905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0"/>
                    <a:srcRect/>
                    <a:stretch>
                      <a:fillRect/>
                    </a:stretch>
                  </pic:blipFill>
                  <pic:spPr bwMode="auto">
                    <a:xfrm>
                      <a:off x="0" y="0"/>
                      <a:ext cx="33147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комиссия за управление, </w:t>
      </w:r>
      <w:r w:rsidR="003549B8">
        <w:rPr>
          <w:rFonts w:ascii="Microsoft Sans Serif" w:hAnsi="Microsoft Sans Serif" w:cs="Microsoft Sans Serif"/>
          <w:noProof/>
          <w:sz w:val="17"/>
          <w:szCs w:val="17"/>
        </w:rPr>
        <w:drawing>
          <wp:inline distT="0" distB="0" distL="0" distR="0">
            <wp:extent cx="341630" cy="180975"/>
            <wp:effectExtent l="19050" t="0" r="127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1"/>
                    <a:srcRect/>
                    <a:stretch>
                      <a:fillRect/>
                    </a:stretch>
                  </pic:blipFill>
                  <pic:spPr bwMode="auto">
                    <a:xfrm>
                      <a:off x="0" y="0"/>
                      <a:ext cx="34163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41630" cy="180975"/>
            <wp:effectExtent l="19050" t="0" r="127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1"/>
                    <a:srcRect/>
                    <a:stretch>
                      <a:fillRect/>
                    </a:stretch>
                  </pic:blipFill>
                  <pic:spPr bwMode="auto">
                    <a:xfrm>
                      <a:off x="0" y="0"/>
                      <a:ext cx="34163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комиссия при покупке паев (надбавка), </w:t>
      </w:r>
      <w:r w:rsidR="003549B8">
        <w:rPr>
          <w:rFonts w:ascii="Microsoft Sans Serif" w:hAnsi="Microsoft Sans Serif" w:cs="Microsoft Sans Serif"/>
          <w:noProof/>
          <w:sz w:val="17"/>
          <w:szCs w:val="17"/>
        </w:rPr>
        <w:drawing>
          <wp:inline distT="0" distB="0" distL="0" distR="0">
            <wp:extent cx="351790" cy="180975"/>
            <wp:effectExtent l="1905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2"/>
                    <a:srcRect/>
                    <a:stretch>
                      <a:fillRect/>
                    </a:stretch>
                  </pic:blipFill>
                  <pic:spPr bwMode="auto">
                    <a:xfrm>
                      <a:off x="0" y="0"/>
                      <a:ext cx="351790"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51790" cy="18097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2"/>
                    <a:srcRect/>
                    <a:stretch>
                      <a:fillRect/>
                    </a:stretch>
                  </pic:blipFill>
                  <pic:spPr bwMode="auto">
                    <a:xfrm>
                      <a:off x="0" y="0"/>
                      <a:ext cx="351790"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комиссия при погашении паев (скидка), </w:t>
      </w:r>
      <w:r w:rsidR="003549B8">
        <w:rPr>
          <w:rFonts w:ascii="Microsoft Sans Serif" w:hAnsi="Microsoft Sans Serif" w:cs="Microsoft Sans Serif"/>
          <w:noProof/>
          <w:sz w:val="17"/>
          <w:szCs w:val="17"/>
        </w:rPr>
        <w:drawing>
          <wp:inline distT="0" distB="0" distL="0" distR="0">
            <wp:extent cx="653415" cy="180975"/>
            <wp:effectExtent l="1905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3"/>
                    <a:srcRect/>
                    <a:stretch>
                      <a:fillRect/>
                    </a:stretch>
                  </pic:blipFill>
                  <pic:spPr bwMode="auto">
                    <a:xfrm>
                      <a:off x="0" y="0"/>
                      <a:ext cx="65341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653415" cy="180975"/>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3"/>
                    <a:srcRect/>
                    <a:stretch>
                      <a:fillRect/>
                    </a:stretch>
                  </pic:blipFill>
                  <pic:spPr bwMode="auto">
                    <a:xfrm>
                      <a:off x="0" y="0"/>
                      <a:ext cx="65341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средний приток средств в фонды данной категории, </w:t>
      </w:r>
      <w:r w:rsidR="003549B8">
        <w:rPr>
          <w:rFonts w:ascii="Microsoft Sans Serif" w:hAnsi="Microsoft Sans Serif" w:cs="Microsoft Sans Serif"/>
          <w:noProof/>
          <w:sz w:val="17"/>
          <w:szCs w:val="17"/>
        </w:rPr>
        <w:drawing>
          <wp:inline distT="0" distB="0" distL="0" distR="0">
            <wp:extent cx="391795" cy="180975"/>
            <wp:effectExtent l="19050" t="0" r="8255"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sidR="003549B8">
        <w:rPr>
          <w:rFonts w:ascii="Microsoft Sans Serif" w:hAnsi="Microsoft Sans Serif" w:cs="Microsoft Sans Serif"/>
          <w:noProof/>
          <w:sz w:val="17"/>
          <w:szCs w:val="17"/>
        </w:rPr>
        <w:drawing>
          <wp:inline distT="0" distB="0" distL="0" distR="0">
            <wp:extent cx="391795" cy="180975"/>
            <wp:effectExtent l="19050" t="0" r="8255"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3"/>
                    <a:srcRect/>
                    <a:stretch>
                      <a:fillRect/>
                    </a:stretch>
                  </pic:blipFill>
                  <pic:spPr bwMode="auto">
                    <a:xfrm>
                      <a:off x="0" y="0"/>
                      <a:ext cx="391795" cy="180975"/>
                    </a:xfrm>
                    <a:prstGeom prst="rect">
                      <a:avLst/>
                    </a:prstGeom>
                    <a:noFill/>
                    <a:ln w="9525">
                      <a:noFill/>
                      <a:miter lim="800000"/>
                      <a:headEnd/>
                      <a:tailEnd/>
                    </a:ln>
                  </pic:spPr>
                </pic:pic>
              </a:graphicData>
            </a:graphic>
          </wp:inline>
        </w:drawing>
      </w:r>
      <w:r>
        <w:rPr>
          <w:rFonts w:ascii="Times New Roman CYR" w:hAnsi="Times New Roman CYR" w:cs="Times New Roman CYR"/>
          <w:sz w:val="28"/>
          <w:szCs w:val="28"/>
        </w:rPr>
        <w:t xml:space="preserve"> - дамми-переменная, принимающая следующие значения:</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3549B8">
      <w:pPr>
        <w:widowControl w:val="0"/>
        <w:autoSpaceDE w:val="0"/>
        <w:autoSpaceDN w:val="0"/>
        <w:adjustRightInd w:val="0"/>
        <w:spacing w:after="0" w:line="240" w:lineRule="auto"/>
        <w:ind w:firstLine="709"/>
        <w:rPr>
          <w:rFonts w:ascii="Times New Roman CYR" w:hAnsi="Times New Roman CYR" w:cs="Times New Roman CYR"/>
          <w:i/>
          <w:iCs/>
          <w:sz w:val="28"/>
          <w:szCs w:val="28"/>
        </w:rPr>
      </w:pPr>
      <w:r>
        <w:rPr>
          <w:rFonts w:ascii="Microsoft Sans Serif" w:hAnsi="Microsoft Sans Serif" w:cs="Microsoft Sans Serif"/>
          <w:noProof/>
          <w:sz w:val="17"/>
          <w:szCs w:val="17"/>
        </w:rPr>
        <w:drawing>
          <wp:inline distT="0" distB="0" distL="0" distR="0">
            <wp:extent cx="5104765" cy="321310"/>
            <wp:effectExtent l="19050" t="0" r="635"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4"/>
                    <a:srcRect/>
                    <a:stretch>
                      <a:fillRect/>
                    </a:stretch>
                  </pic:blipFill>
                  <pic:spPr bwMode="auto">
                    <a:xfrm>
                      <a:off x="0" y="0"/>
                      <a:ext cx="5104765" cy="321310"/>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В модели (3), как и в модели (1) наблюдалась значительная корреляция свободного члена с одним из регрессоров (коэффициент </w:t>
      </w:r>
      <w:r>
        <w:rPr>
          <w:rFonts w:ascii="Times New Roman CYR" w:hAnsi="Times New Roman CYR" w:cs="Times New Roman CYR"/>
          <w:sz w:val="28"/>
          <w:szCs w:val="28"/>
          <w:lang w:val="en-US"/>
        </w:rPr>
        <w:t>VIF</w:t>
      </w:r>
      <w:r>
        <w:rPr>
          <w:rFonts w:ascii="Times New Roman CYR" w:hAnsi="Times New Roman CYR" w:cs="Times New Roman CYR"/>
          <w:sz w:val="28"/>
          <w:szCs w:val="28"/>
        </w:rPr>
        <w:t xml:space="preserve"> = 173.03). После удаления свободного члена из модели проблема мультиколлинеарности отпала. До</w:t>
      </w:r>
      <w:r>
        <w:rPr>
          <w:rFonts w:ascii="Times New Roman CYR" w:hAnsi="Times New Roman CYR" w:cs="Times New Roman CYR"/>
          <w:sz w:val="28"/>
          <w:szCs w:val="28"/>
        </w:rPr>
        <w:t xml:space="preserve">полнительно, как и в случае с моделью (1), добавление временных эффектов в модель улучшает ее значимость, хотя значимость самих временных эффектов низкая. Таким образом, конечный вариант модели выглядит следующим </w:t>
      </w:r>
      <w:r>
        <w:rPr>
          <w:rFonts w:ascii="Times New Roman CYR" w:hAnsi="Times New Roman CYR" w:cs="Times New Roman CYR"/>
          <w:sz w:val="28"/>
          <w:szCs w:val="28"/>
        </w:rPr>
        <w:lastRenderedPageBreak/>
        <w:t>образом: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(3.2):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602615"/>
            <wp:effectExtent l="19050" t="0" r="508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4"/>
                    <a:srcRect/>
                    <a:stretch>
                      <a:fillRect/>
                    </a:stretch>
                  </pic:blipFill>
                  <pic:spPr bwMode="auto">
                    <a:xfrm>
                      <a:off x="0" y="0"/>
                      <a:ext cx="5938520" cy="602615"/>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4994275" cy="502285"/>
            <wp:effectExtent l="1905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4"/>
                    <a:srcRect/>
                    <a:stretch>
                      <a:fillRect/>
                    </a:stretch>
                  </pic:blipFill>
                  <pic:spPr bwMode="auto">
                    <a:xfrm>
                      <a:off x="0" y="0"/>
                      <a:ext cx="4994275" cy="50228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В таблице 13 представлены оценки коэффициентов в моделях (3), (3.1) - модель без свободного члена и (3.2) - модель без свободного члена и с временными эффектами.</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3180"/>
        <w:gridCol w:w="1397"/>
        <w:gridCol w:w="709"/>
        <w:gridCol w:w="1252"/>
        <w:gridCol w:w="758"/>
        <w:gridCol w:w="1080"/>
        <w:gridCol w:w="696"/>
      </w:tblGrid>
      <w:tr w:rsidR="00000000">
        <w:tblPrEx>
          <w:tblCellMar>
            <w:top w:w="0" w:type="dxa"/>
            <w:bottom w:w="0" w:type="dxa"/>
          </w:tblCellMar>
        </w:tblPrEx>
        <w:tc>
          <w:tcPr>
            <w:tcW w:w="7296"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13. Результаты тестирования моделей (3),</w:t>
            </w:r>
            <w:r>
              <w:rPr>
                <w:rFonts w:ascii="Times New Roman CYR" w:hAnsi="Times New Roman CYR" w:cs="Times New Roman CYR"/>
                <w:sz w:val="20"/>
                <w:szCs w:val="20"/>
              </w:rPr>
              <w:t xml:space="preserve"> (3.1) и (3.2).</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Переменная</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r>
              <w:rPr>
                <w:rFonts w:ascii="Times New Roman CYR" w:hAnsi="Times New Roman CYR" w:cs="Times New Roman CYR"/>
                <w:sz w:val="20"/>
                <w:szCs w:val="20"/>
              </w:rPr>
              <w:t>3</w:t>
            </w:r>
            <w:r>
              <w:rPr>
                <w:rFonts w:ascii="Times New Roman CYR" w:hAnsi="Times New Roman CYR" w:cs="Times New Roman CYR"/>
                <w:sz w:val="20"/>
                <w:szCs w:val="20"/>
                <w:lang w:val="en-US"/>
              </w:rPr>
              <w:t>)</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r>
              <w:rPr>
                <w:rFonts w:ascii="Times New Roman CYR" w:hAnsi="Times New Roman CYR" w:cs="Times New Roman CYR"/>
                <w:sz w:val="20"/>
                <w:szCs w:val="20"/>
                <w:lang w:val="en-US"/>
              </w:rPr>
              <w:t>0.0</w:t>
            </w:r>
            <w:r>
              <w:rPr>
                <w:rFonts w:ascii="Times New Roman CYR" w:hAnsi="Times New Roman CYR" w:cs="Times New Roman CYR"/>
                <w:sz w:val="20"/>
                <w:szCs w:val="20"/>
              </w:rPr>
              <w:t>102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031</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0.2471</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RAdjt-1</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0.08</w:t>
            </w:r>
            <w:r>
              <w:rPr>
                <w:rFonts w:ascii="Times New Roman CYR" w:hAnsi="Times New Roman CYR" w:cs="Times New Roman CYR"/>
                <w:sz w:val="20"/>
                <w:szCs w:val="20"/>
              </w:rPr>
              <w:t>92</w:t>
            </w:r>
            <w:r>
              <w:rPr>
                <w:rFonts w:ascii="Times New Roman CYR" w:hAnsi="Times New Roman CYR" w:cs="Times New Roman CYR"/>
                <w:sz w:val="20"/>
                <w:szCs w:val="20"/>
                <w:lang w:val="en-US"/>
              </w:rPr>
              <w:t xml:space="preserve"> </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w:t>
            </w:r>
            <w:r>
              <w:rPr>
                <w:rFonts w:ascii="Times New Roman CYR" w:hAnsi="Times New Roman CYR" w:cs="Times New Roman CYR"/>
                <w:sz w:val="20"/>
                <w:szCs w:val="20"/>
                <w:lang w:val="en-US"/>
              </w:rPr>
              <w:t>0967</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0.15</w:t>
            </w:r>
            <w:r>
              <w:rPr>
                <w:rFonts w:ascii="Times New Roman CYR" w:hAnsi="Times New Roman CYR" w:cs="Times New Roman CYR"/>
                <w:sz w:val="20"/>
                <w:szCs w:val="20"/>
              </w:rPr>
              <w:t>0</w:t>
            </w:r>
            <w:r>
              <w:rPr>
                <w:rFonts w:ascii="Times New Roman CYR" w:hAnsi="Times New Roman CYR" w:cs="Times New Roman CYR"/>
                <w:sz w:val="20"/>
                <w:szCs w:val="20"/>
                <w:lang w:val="en-US"/>
              </w:rPr>
              <w:t>4</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Flowt-1</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w:t>
            </w:r>
            <w:r>
              <w:rPr>
                <w:rFonts w:ascii="Times New Roman CYR" w:hAnsi="Times New Roman CYR" w:cs="Times New Roman CYR"/>
                <w:sz w:val="20"/>
                <w:szCs w:val="20"/>
              </w:rPr>
              <w:t>026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0</w:t>
            </w:r>
            <w:r>
              <w:rPr>
                <w:rFonts w:ascii="Times New Roman CYR" w:hAnsi="Times New Roman CYR" w:cs="Times New Roman CYR"/>
                <w:sz w:val="20"/>
                <w:szCs w:val="20"/>
              </w:rPr>
              <w:t>2</w:t>
            </w:r>
            <w:r>
              <w:rPr>
                <w:rFonts w:ascii="Times New Roman CYR" w:hAnsi="Times New Roman CYR" w:cs="Times New Roman CYR"/>
                <w:sz w:val="20"/>
                <w:szCs w:val="20"/>
                <w:lang w:val="en-US"/>
              </w:rPr>
              <w:t>4</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0</w:t>
            </w:r>
            <w:r>
              <w:rPr>
                <w:rFonts w:ascii="Times New Roman CYR" w:hAnsi="Times New Roman CYR" w:cs="Times New Roman CYR"/>
                <w:sz w:val="20"/>
                <w:szCs w:val="20"/>
                <w:lang w:val="en-US"/>
              </w:rPr>
              <w:t>60</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lnAUM</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0.03</w:t>
            </w:r>
            <w:r>
              <w:rPr>
                <w:rFonts w:ascii="Times New Roman CYR" w:hAnsi="Times New Roman CYR" w:cs="Times New Roman CYR"/>
                <w:sz w:val="20"/>
                <w:szCs w:val="20"/>
              </w:rPr>
              <w:t>71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166</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0.0233</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w:t>
            </w:r>
            <w:r>
              <w:rPr>
                <w:rFonts w:ascii="Times New Roman CYR" w:hAnsi="Times New Roman CYR" w:cs="Times New Roman CYR"/>
                <w:sz w:val="20"/>
                <w:szCs w:val="20"/>
              </w:rPr>
              <w:t>64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-0.0</w:t>
            </w:r>
            <w:r>
              <w:rPr>
                <w:rFonts w:ascii="Times New Roman CYR" w:hAnsi="Times New Roman CYR" w:cs="Times New Roman CYR"/>
                <w:sz w:val="20"/>
                <w:szCs w:val="20"/>
                <w:lang w:val="en-US"/>
              </w:rPr>
              <w:t>460</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-0.0526</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Fee</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-0.043</w:t>
            </w:r>
            <w:r>
              <w:rPr>
                <w:rFonts w:ascii="Times New Roman CYR" w:hAnsi="Times New Roman CYR" w:cs="Times New Roman CYR"/>
                <w:sz w:val="20"/>
                <w:szCs w:val="20"/>
              </w:rPr>
              <w:t>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r>
              <w:rPr>
                <w:rFonts w:ascii="Times New Roman CYR" w:hAnsi="Times New Roman CYR" w:cs="Times New Roman CYR"/>
                <w:sz w:val="20"/>
                <w:szCs w:val="20"/>
              </w:rPr>
              <w:t>0.0</w:t>
            </w:r>
            <w:r>
              <w:rPr>
                <w:rFonts w:ascii="Times New Roman CYR" w:hAnsi="Times New Roman CYR" w:cs="Times New Roman CYR"/>
                <w:sz w:val="20"/>
                <w:szCs w:val="20"/>
                <w:lang w:val="en-US"/>
              </w:rPr>
              <w:t>439</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-0.0424</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Sub</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661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-0.0644</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-0.07</w:t>
            </w:r>
            <w:r>
              <w:rPr>
                <w:rFonts w:ascii="Times New Roman CYR" w:hAnsi="Times New Roman CYR" w:cs="Times New Roman CYR"/>
                <w:sz w:val="20"/>
                <w:szCs w:val="20"/>
              </w:rPr>
              <w:t>2</w:t>
            </w:r>
            <w:r>
              <w:rPr>
                <w:rFonts w:ascii="Times New Roman CYR" w:hAnsi="Times New Roman CYR" w:cs="Times New Roman CYR"/>
                <w:sz w:val="20"/>
                <w:szCs w:val="20"/>
                <w:lang w:val="en-US"/>
              </w:rPr>
              <w:t>3</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Red</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w:t>
            </w:r>
            <w:r>
              <w:rPr>
                <w:rFonts w:ascii="Times New Roman CYR" w:hAnsi="Times New Roman CYR" w:cs="Times New Roman CYR"/>
                <w:sz w:val="20"/>
                <w:szCs w:val="20"/>
              </w:rPr>
              <w:t>532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0.0477</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0.0494</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IndFlow</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0.333</w:t>
            </w:r>
            <w:r>
              <w:rPr>
                <w:rFonts w:ascii="Times New Roman CYR" w:hAnsi="Times New Roman CYR" w:cs="Times New Roman CYR"/>
                <w:sz w:val="20"/>
                <w:szCs w:val="20"/>
              </w:rPr>
              <w:t>9</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0.3571</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0.2362</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D07</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0.0674</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D08</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0.1185</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D09</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-0.4914</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D10</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-0.2920</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D11</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w:t>
            </w:r>
            <w:r>
              <w:rPr>
                <w:rFonts w:ascii="Times New Roman CYR" w:hAnsi="Times New Roman CYR" w:cs="Times New Roman CYR"/>
                <w:sz w:val="20"/>
                <w:szCs w:val="20"/>
              </w:rPr>
              <w:t>1</w:t>
            </w:r>
            <w:r>
              <w:rPr>
                <w:rFonts w:ascii="Times New Roman CYR" w:hAnsi="Times New Roman CYR" w:cs="Times New Roman CYR"/>
                <w:sz w:val="20"/>
                <w:szCs w:val="20"/>
                <w:lang w:val="en-US"/>
              </w:rPr>
              <w:t>2</w:t>
            </w:r>
            <w:r>
              <w:rPr>
                <w:rFonts w:ascii="Times New Roman CYR" w:hAnsi="Times New Roman CYR" w:cs="Times New Roman CYR"/>
                <w:sz w:val="20"/>
                <w:szCs w:val="20"/>
              </w:rPr>
              <w:t>1</w:t>
            </w:r>
            <w:r>
              <w:rPr>
                <w:rFonts w:ascii="Times New Roman CYR" w:hAnsi="Times New Roman CYR" w:cs="Times New Roman CYR"/>
                <w:sz w:val="20"/>
                <w:szCs w:val="20"/>
                <w:lang w:val="en-US"/>
              </w:rPr>
              <w:t>3</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D12</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-0.0598</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D13</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-0.09</w:t>
            </w:r>
            <w:r>
              <w:rPr>
                <w:rFonts w:ascii="Times New Roman CYR" w:hAnsi="Times New Roman CYR" w:cs="Times New Roman CYR"/>
                <w:sz w:val="20"/>
                <w:szCs w:val="20"/>
              </w:rPr>
              <w:t>2</w:t>
            </w:r>
            <w:r>
              <w:rPr>
                <w:rFonts w:ascii="Times New Roman CYR" w:hAnsi="Times New Roman CYR" w:cs="Times New Roman CYR"/>
                <w:sz w:val="20"/>
                <w:szCs w:val="20"/>
                <w:lang w:val="en-US"/>
              </w:rPr>
              <w:t>0</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D14</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-0.0615</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Свободный член</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-0.3881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Скорректированный R2</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0.1360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w:t>
            </w:r>
            <w:r>
              <w:rPr>
                <w:rFonts w:ascii="Times New Roman CYR" w:hAnsi="Times New Roman CYR" w:cs="Times New Roman CYR"/>
                <w:sz w:val="20"/>
                <w:szCs w:val="20"/>
                <w:lang w:val="en-US"/>
              </w:rPr>
              <w:t>1343</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0.1487</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31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F-</w:t>
            </w:r>
            <w:r>
              <w:rPr>
                <w:rFonts w:ascii="Times New Roman CYR" w:hAnsi="Times New Roman CYR" w:cs="Times New Roman CYR"/>
                <w:sz w:val="20"/>
                <w:szCs w:val="20"/>
              </w:rPr>
              <w:t>статистика</w:t>
            </w:r>
          </w:p>
        </w:tc>
        <w:tc>
          <w:tcPr>
            <w:tcW w:w="139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11.31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25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11</w:t>
            </w:r>
            <w:r>
              <w:rPr>
                <w:rFonts w:ascii="Times New Roman CYR" w:hAnsi="Times New Roman CYR" w:cs="Times New Roman CYR"/>
                <w:sz w:val="20"/>
                <w:szCs w:val="20"/>
              </w:rPr>
              <w:t>.</w:t>
            </w:r>
            <w:r>
              <w:rPr>
                <w:rFonts w:ascii="Times New Roman CYR" w:hAnsi="Times New Roman CYR" w:cs="Times New Roman CYR"/>
                <w:sz w:val="20"/>
                <w:szCs w:val="20"/>
                <w:lang w:val="en-US"/>
              </w:rPr>
              <w:t>19</w:t>
            </w:r>
          </w:p>
        </w:tc>
        <w:tc>
          <w:tcPr>
            <w:tcW w:w="75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15.38</w:t>
            </w: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7296"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Звездочки показывают уровень значимости: *** - 1%, ** - 5%, * - 10% Источник: расчеты автора</w:t>
            </w:r>
          </w:p>
        </w:tc>
        <w:tc>
          <w:tcPr>
            <w:tcW w:w="108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9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видно из таблицы 13, включ</w:t>
      </w:r>
      <w:r>
        <w:rPr>
          <w:rFonts w:ascii="Times New Roman CYR" w:hAnsi="Times New Roman CYR" w:cs="Times New Roman CYR"/>
          <w:sz w:val="28"/>
          <w:szCs w:val="28"/>
        </w:rPr>
        <w:t>ение временных эффектов делает значимым коэффициент перед доходностью текущего периода. Коэффициент положительный, значит инвесторы реагируют на доходность положительно, как и предполагалось. Как и в предыдущем случае, несмотря на то, что в классической ли</w:t>
      </w:r>
      <w:r>
        <w:rPr>
          <w:rFonts w:ascii="Times New Roman CYR" w:hAnsi="Times New Roman CYR" w:cs="Times New Roman CYR"/>
          <w:sz w:val="28"/>
          <w:szCs w:val="28"/>
        </w:rPr>
        <w:t xml:space="preserve">тературе исследуется зависимость приток средств от доходности предыдущего периода, для российских инвесторов большее </w:t>
      </w:r>
      <w:r>
        <w:rPr>
          <w:rFonts w:ascii="Times New Roman CYR" w:hAnsi="Times New Roman CYR" w:cs="Times New Roman CYR"/>
          <w:sz w:val="28"/>
          <w:szCs w:val="28"/>
        </w:rPr>
        <w:lastRenderedPageBreak/>
        <w:t>значение имеет текущая доходность, ввиду их большей ориентации на краткосрочные вложения.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Коэффициент перед размером фонда также положитель</w:t>
      </w:r>
      <w:r>
        <w:rPr>
          <w:rFonts w:ascii="Times New Roman CYR" w:hAnsi="Times New Roman CYR" w:cs="Times New Roman CYR"/>
          <w:sz w:val="28"/>
          <w:szCs w:val="28"/>
        </w:rPr>
        <w:t xml:space="preserve">ный и значимый, что говорит о том, что российские инвесторы больше склонны доверять большим фондам, чем мелким. Этот результат противоположен выводу большинства исследований </w:t>
      </w:r>
      <w:r>
        <w:rPr>
          <w:rFonts w:ascii="Times New Roman CYR" w:hAnsi="Times New Roman CYR" w:cs="Times New Roman CYR"/>
          <w:noProof/>
          <w:sz w:val="28"/>
          <w:szCs w:val="28"/>
        </w:rPr>
        <w:t>(Jayaraman, et al., 2002)</w:t>
      </w:r>
      <w:r>
        <w:rPr>
          <w:rFonts w:ascii="Times New Roman CYR" w:hAnsi="Times New Roman CYR" w:cs="Times New Roman CYR"/>
          <w:sz w:val="28"/>
          <w:szCs w:val="28"/>
        </w:rPr>
        <w:t xml:space="preserve"> </w:t>
      </w:r>
      <w:r>
        <w:rPr>
          <w:rFonts w:ascii="Times New Roman CYR" w:hAnsi="Times New Roman CYR" w:cs="Times New Roman CYR"/>
          <w:noProof/>
          <w:sz w:val="28"/>
          <w:szCs w:val="28"/>
        </w:rPr>
        <w:t>(Sapp, et al., 2004) (Chou, et al., 2014)</w:t>
      </w:r>
      <w:r>
        <w:rPr>
          <w:rFonts w:ascii="Times New Roman CYR" w:hAnsi="Times New Roman CYR" w:cs="Times New Roman CYR"/>
          <w:sz w:val="28"/>
          <w:szCs w:val="28"/>
        </w:rPr>
        <w:t>, однако это со</w:t>
      </w:r>
      <w:r>
        <w:rPr>
          <w:rFonts w:ascii="Times New Roman CYR" w:hAnsi="Times New Roman CYR" w:cs="Times New Roman CYR"/>
          <w:sz w:val="28"/>
          <w:szCs w:val="28"/>
        </w:rPr>
        <w:t>относится с результатами модели (1.3), которая показывает, что доходность фонда положительно зависит от его размера. Соответственно, инвесторы ведут себя рационально, вкладывая деньги в более крупные фонды.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Возраст фонда оказывает отрицательное значение на</w:t>
      </w:r>
      <w:r>
        <w:rPr>
          <w:rFonts w:ascii="Times New Roman CYR" w:hAnsi="Times New Roman CYR" w:cs="Times New Roman CYR"/>
          <w:sz w:val="28"/>
          <w:szCs w:val="28"/>
        </w:rPr>
        <w:t xml:space="preserve"> приток инвестиций в него, что соотносится с результатами других исследований </w:t>
      </w:r>
      <w:r>
        <w:rPr>
          <w:rFonts w:ascii="Times New Roman CYR" w:hAnsi="Times New Roman CYR" w:cs="Times New Roman CYR"/>
          <w:noProof/>
          <w:sz w:val="28"/>
          <w:szCs w:val="28"/>
        </w:rPr>
        <w:t>(Chou, et al., 2014) (Абрамов, и др., 2014)</w:t>
      </w:r>
      <w:r>
        <w:rPr>
          <w:rFonts w:ascii="Times New Roman CYR" w:hAnsi="Times New Roman CYR" w:cs="Times New Roman CYR"/>
          <w:sz w:val="28"/>
          <w:szCs w:val="28"/>
        </w:rPr>
        <w:t>.</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и предполагалось, комиссии при покупке паев значимо влияют на приток средств в фонды, уменьшая его. Это объясняется ограничением </w:t>
      </w:r>
      <w:r>
        <w:rPr>
          <w:rFonts w:ascii="Times New Roman CYR" w:hAnsi="Times New Roman CYR" w:cs="Times New Roman CYR"/>
          <w:sz w:val="28"/>
          <w:szCs w:val="28"/>
        </w:rPr>
        <w:t xml:space="preserve">притока средств в связи с тем, что инвесторы не желают платить дополнительные комиссии. При переменной комиссии за погашение фонда коэффициент незначим, что может говорить о том, что инвесторы больше реагируют на комиссии при входе. Комиссии за управление </w:t>
      </w:r>
      <w:r>
        <w:rPr>
          <w:rFonts w:ascii="Times New Roman CYR" w:hAnsi="Times New Roman CYR" w:cs="Times New Roman CYR"/>
          <w:sz w:val="28"/>
          <w:szCs w:val="28"/>
        </w:rPr>
        <w:t>фондом также не оказывают значимого эффекта на приток средств, что противоречит логике и результатам других исследований. Отсутствие данного эффекта можно объяснить сосредоточением выборки на малом количестве управляющих компаний, внутри которых существует</w:t>
      </w:r>
      <w:r>
        <w:rPr>
          <w:rFonts w:ascii="Times New Roman CYR" w:hAnsi="Times New Roman CYR" w:cs="Times New Roman CYR"/>
          <w:sz w:val="28"/>
          <w:szCs w:val="28"/>
        </w:rPr>
        <w:t xml:space="preserve"> маленькая вариация комиссий за управление фондами. Возможно, увеличение выборки помогло бы сделать этот эффект более заметным.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всех временных эффектов значимым оказывается эффект 2009 года, когда после потерь 2008 года инвесторы бросились забирать инве</w:t>
      </w:r>
      <w:r>
        <w:rPr>
          <w:rFonts w:ascii="Times New Roman CYR" w:hAnsi="Times New Roman CYR" w:cs="Times New Roman CYR"/>
          <w:sz w:val="28"/>
          <w:szCs w:val="28"/>
        </w:rPr>
        <w:t xml:space="preserve">стиции из фондов, опасаясь дальнейшего ухудшения положения, и 2010 года - </w:t>
      </w:r>
      <w:r>
        <w:rPr>
          <w:rFonts w:ascii="Times New Roman CYR" w:hAnsi="Times New Roman CYR" w:cs="Times New Roman CYR"/>
          <w:sz w:val="28"/>
          <w:szCs w:val="28"/>
        </w:rPr>
        <w:lastRenderedPageBreak/>
        <w:t>по-видимому отток, связанный с тем, что многие фонды отыграли или почти отыграли проигранное в 2008, а инвесторы решили зафиксировать прибыль (или убытки на низком уровне).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w:t>
      </w:r>
      <w:r>
        <w:rPr>
          <w:rFonts w:ascii="Times New Roman CYR" w:hAnsi="Times New Roman CYR" w:cs="Times New Roman CYR"/>
          <w:sz w:val="28"/>
          <w:szCs w:val="28"/>
        </w:rPr>
        <w:t>азом, в результате оценивания модели (3.2), были подтверждены гипотезы 12, 14, 15 и 17, в то время как гипотезы 12.1, 13,16 и 18 подтверждены не были.</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тестирования влияния наличия сделки слияния в прошлом в модель (4) были добавлены временные эффекты, </w:t>
      </w:r>
      <w:r>
        <w:rPr>
          <w:rFonts w:ascii="Times New Roman CYR" w:hAnsi="Times New Roman CYR" w:cs="Times New Roman CYR"/>
          <w:sz w:val="28"/>
          <w:szCs w:val="28"/>
        </w:rPr>
        <w:t>так как они усиливают значимость модели. Таким образом, окончательная модель принимает следующий вид:</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(4.1): </w:t>
      </w:r>
    </w:p>
    <w:p w:rsidR="00000000" w:rsidRDefault="003549B8">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5938520" cy="602615"/>
            <wp:effectExtent l="19050" t="0" r="508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5"/>
                    <a:srcRect/>
                    <a:stretch>
                      <a:fillRect/>
                    </a:stretch>
                  </pic:blipFill>
                  <pic:spPr bwMode="auto">
                    <a:xfrm>
                      <a:off x="0" y="0"/>
                      <a:ext cx="5938520" cy="602615"/>
                    </a:xfrm>
                    <a:prstGeom prst="rect">
                      <a:avLst/>
                    </a:prstGeom>
                    <a:noFill/>
                    <a:ln w="9525">
                      <a:noFill/>
                      <a:miter lim="800000"/>
                      <a:headEnd/>
                      <a:tailEnd/>
                    </a:ln>
                  </pic:spPr>
                </pic:pic>
              </a:graphicData>
            </a:graphic>
          </wp:inline>
        </w:drawing>
      </w:r>
      <w:r>
        <w:rPr>
          <w:rFonts w:ascii="Microsoft Sans Serif" w:hAnsi="Microsoft Sans Serif" w:cs="Microsoft Sans Serif"/>
          <w:noProof/>
          <w:sz w:val="17"/>
          <w:szCs w:val="17"/>
        </w:rPr>
        <w:drawing>
          <wp:inline distT="0" distB="0" distL="0" distR="0">
            <wp:extent cx="5174615" cy="522605"/>
            <wp:effectExtent l="19050" t="0" r="6985"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5"/>
                    <a:srcRect/>
                    <a:stretch>
                      <a:fillRect/>
                    </a:stretch>
                  </pic:blipFill>
                  <pic:spPr bwMode="auto">
                    <a:xfrm>
                      <a:off x="0" y="0"/>
                      <a:ext cx="5174615" cy="522605"/>
                    </a:xfrm>
                    <a:prstGeom prst="rect">
                      <a:avLst/>
                    </a:prstGeom>
                    <a:noFill/>
                    <a:ln w="9525">
                      <a:noFill/>
                      <a:miter lim="800000"/>
                      <a:headEnd/>
                      <a:tailEnd/>
                    </a:ln>
                  </pic:spPr>
                </pic:pic>
              </a:graphicData>
            </a:graphic>
          </wp:inline>
        </w:drawing>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CYR" w:hAnsi="Times New Roman CYR" w:cs="Times New Roman CYR"/>
          <w:sz w:val="28"/>
          <w:szCs w:val="28"/>
        </w:rPr>
        <w:t>Результаты оценивания данной модели представлены в таблице 14, для удоб</w:t>
      </w:r>
      <w:r>
        <w:rPr>
          <w:rFonts w:ascii="Times New Roman CYR" w:hAnsi="Times New Roman CYR" w:cs="Times New Roman CYR"/>
          <w:sz w:val="28"/>
          <w:szCs w:val="28"/>
        </w:rPr>
        <w:t>ства сравнения там же приведены результаты модели (3.2).</w:t>
      </w:r>
    </w:p>
    <w:p w:rsidR="00000000" w:rsidRDefault="00F04042">
      <w:pPr>
        <w:widowControl w:val="0"/>
        <w:autoSpaceDE w:val="0"/>
        <w:autoSpaceDN w:val="0"/>
        <w:adjustRightInd w:val="0"/>
        <w:spacing w:after="0" w:line="240" w:lineRule="auto"/>
        <w:ind w:firstLine="709"/>
        <w:rPr>
          <w:rFonts w:ascii="Times New Roman CYR" w:hAnsi="Times New Roman CYR" w:cs="Times New Roman CYR"/>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2917"/>
        <w:gridCol w:w="1079"/>
        <w:gridCol w:w="669"/>
        <w:gridCol w:w="1006"/>
        <w:gridCol w:w="670"/>
      </w:tblGrid>
      <w:tr w:rsidR="00000000">
        <w:tblPrEx>
          <w:tblCellMar>
            <w:top w:w="0" w:type="dxa"/>
            <w:bottom w:w="0" w:type="dxa"/>
          </w:tblCellMar>
        </w:tblPrEx>
        <w:tc>
          <w:tcPr>
            <w:tcW w:w="6341"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Табл. 14. Результаты тестирования моделей (3.2) и (4.1).</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Переменная</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(4.1)</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0.2471</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0.2469</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RAdjt-1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0.15</w:t>
            </w:r>
            <w:r>
              <w:rPr>
                <w:rFonts w:ascii="Times New Roman CYR" w:hAnsi="Times New Roman CYR" w:cs="Times New Roman CYR"/>
                <w:sz w:val="20"/>
                <w:szCs w:val="20"/>
              </w:rPr>
              <w:t>0</w:t>
            </w:r>
            <w:r>
              <w:rPr>
                <w:rFonts w:ascii="Times New Roman CYR" w:hAnsi="Times New Roman CYR" w:cs="Times New Roman CYR"/>
                <w:sz w:val="20"/>
                <w:szCs w:val="20"/>
                <w:lang w:val="en-US"/>
              </w:rPr>
              <w:t>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0.1506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Flowt-1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0</w:t>
            </w:r>
            <w:r>
              <w:rPr>
                <w:rFonts w:ascii="Times New Roman CYR" w:hAnsi="Times New Roman CYR" w:cs="Times New Roman CYR"/>
                <w:sz w:val="20"/>
                <w:szCs w:val="20"/>
                <w:lang w:val="en-US"/>
              </w:rPr>
              <w:t>60</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w:t>
            </w:r>
            <w:r>
              <w:rPr>
                <w:rFonts w:ascii="Times New Roman CYR" w:hAnsi="Times New Roman CYR" w:cs="Times New Roman CYR"/>
                <w:sz w:val="20"/>
                <w:szCs w:val="20"/>
                <w:lang w:val="en-US"/>
              </w:rPr>
              <w:t>0</w:t>
            </w:r>
            <w:r>
              <w:rPr>
                <w:rFonts w:ascii="Times New Roman CYR" w:hAnsi="Times New Roman CYR" w:cs="Times New Roman CYR"/>
                <w:sz w:val="20"/>
                <w:szCs w:val="20"/>
              </w:rPr>
              <w:t>60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lnAUM</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0.0233</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r>
              <w:rPr>
                <w:rFonts w:ascii="Times New Roman CYR" w:hAnsi="Times New Roman CYR" w:cs="Times New Roman CYR"/>
                <w:sz w:val="20"/>
                <w:szCs w:val="20"/>
                <w:lang w:val="en-US"/>
              </w:rPr>
              <w:t>0</w:t>
            </w:r>
            <w:r>
              <w:rPr>
                <w:rFonts w:ascii="Times New Roman CYR" w:hAnsi="Times New Roman CYR" w:cs="Times New Roman CYR"/>
                <w:sz w:val="20"/>
                <w:szCs w:val="20"/>
              </w:rPr>
              <w:t>236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w:t>
            </w:r>
            <w:r>
              <w:rPr>
                <w:rFonts w:ascii="Times New Roman CYR" w:hAnsi="Times New Roman CYR" w:cs="Times New Roman CYR"/>
                <w:sz w:val="20"/>
                <w:szCs w:val="20"/>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Age</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-0.0526</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-0.0</w:t>
            </w:r>
            <w:r>
              <w:rPr>
                <w:rFonts w:ascii="Times New Roman CYR" w:hAnsi="Times New Roman CYR" w:cs="Times New Roman CYR"/>
                <w:sz w:val="20"/>
                <w:szCs w:val="20"/>
                <w:lang w:val="en-US"/>
              </w:rPr>
              <w:t>52</w:t>
            </w:r>
            <w:r>
              <w:rPr>
                <w:rFonts w:ascii="Times New Roman CYR" w:hAnsi="Times New Roman CYR" w:cs="Times New Roman CYR"/>
                <w:sz w:val="20"/>
                <w:szCs w:val="20"/>
              </w:rPr>
              <w:t>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Fee</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-0.0424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r>
              <w:rPr>
                <w:rFonts w:ascii="Times New Roman CYR" w:hAnsi="Times New Roman CYR" w:cs="Times New Roman CYR"/>
                <w:sz w:val="20"/>
                <w:szCs w:val="20"/>
              </w:rPr>
              <w:t>0.0</w:t>
            </w:r>
            <w:r>
              <w:rPr>
                <w:rFonts w:ascii="Times New Roman CYR" w:hAnsi="Times New Roman CYR" w:cs="Times New Roman CYR"/>
                <w:sz w:val="20"/>
                <w:szCs w:val="20"/>
                <w:lang w:val="en-US"/>
              </w:rPr>
              <w:t>4</w:t>
            </w:r>
            <w:r>
              <w:rPr>
                <w:rFonts w:ascii="Times New Roman CYR" w:hAnsi="Times New Roman CYR" w:cs="Times New Roman CYR"/>
                <w:sz w:val="20"/>
                <w:szCs w:val="20"/>
              </w:rPr>
              <w:t>28</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Sub</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-0.07</w:t>
            </w:r>
            <w:r>
              <w:rPr>
                <w:rFonts w:ascii="Times New Roman CYR" w:hAnsi="Times New Roman CYR" w:cs="Times New Roman CYR"/>
                <w:sz w:val="20"/>
                <w:szCs w:val="20"/>
              </w:rPr>
              <w:t>2</w:t>
            </w:r>
            <w:r>
              <w:rPr>
                <w:rFonts w:ascii="Times New Roman CYR" w:hAnsi="Times New Roman CYR" w:cs="Times New Roman CYR"/>
                <w:sz w:val="20"/>
                <w:szCs w:val="20"/>
                <w:lang w:val="en-US"/>
              </w:rPr>
              <w:t>3</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730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Red</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0.0494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w:t>
            </w:r>
            <w:r>
              <w:rPr>
                <w:rFonts w:ascii="Times New Roman CYR" w:hAnsi="Times New Roman CYR" w:cs="Times New Roman CYR"/>
                <w:sz w:val="20"/>
                <w:szCs w:val="20"/>
              </w:rPr>
              <w:t>499</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IndFlow</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0.2362</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2</w:t>
            </w:r>
            <w:r>
              <w:rPr>
                <w:rFonts w:ascii="Times New Roman CYR" w:hAnsi="Times New Roman CYR" w:cs="Times New Roman CYR"/>
                <w:sz w:val="20"/>
                <w:szCs w:val="20"/>
                <w:lang w:val="en-US"/>
              </w:rPr>
              <w:t>3</w:t>
            </w:r>
            <w:r>
              <w:rPr>
                <w:rFonts w:ascii="Times New Roman CYR" w:hAnsi="Times New Roman CYR" w:cs="Times New Roman CYR"/>
                <w:sz w:val="20"/>
                <w:szCs w:val="20"/>
              </w:rPr>
              <w:t>66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D07</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0.0674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633</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D08</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0.1185</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1148</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D09</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-0.4914</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4945</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D10</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-0.2920</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2</w:t>
            </w:r>
            <w:r>
              <w:rPr>
                <w:rFonts w:ascii="Times New Roman CYR" w:hAnsi="Times New Roman CYR" w:cs="Times New Roman CYR"/>
                <w:sz w:val="20"/>
                <w:szCs w:val="20"/>
                <w:lang w:val="en-US"/>
              </w:rPr>
              <w:t>9</w:t>
            </w:r>
            <w:r>
              <w:rPr>
                <w:rFonts w:ascii="Times New Roman CYR" w:hAnsi="Times New Roman CYR" w:cs="Times New Roman CYR"/>
                <w:sz w:val="20"/>
                <w:szCs w:val="20"/>
              </w:rPr>
              <w:t>56</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D11</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w:t>
            </w:r>
            <w:r>
              <w:rPr>
                <w:rFonts w:ascii="Times New Roman CYR" w:hAnsi="Times New Roman CYR" w:cs="Times New Roman CYR"/>
                <w:sz w:val="20"/>
                <w:szCs w:val="20"/>
              </w:rPr>
              <w:t>1</w:t>
            </w:r>
            <w:r>
              <w:rPr>
                <w:rFonts w:ascii="Times New Roman CYR" w:hAnsi="Times New Roman CYR" w:cs="Times New Roman CYR"/>
                <w:sz w:val="20"/>
                <w:szCs w:val="20"/>
                <w:lang w:val="en-US"/>
              </w:rPr>
              <w:t>2</w:t>
            </w:r>
            <w:r>
              <w:rPr>
                <w:rFonts w:ascii="Times New Roman CYR" w:hAnsi="Times New Roman CYR" w:cs="Times New Roman CYR"/>
                <w:sz w:val="20"/>
                <w:szCs w:val="20"/>
              </w:rPr>
              <w:t>1</w:t>
            </w:r>
            <w:r>
              <w:rPr>
                <w:rFonts w:ascii="Times New Roman CYR" w:hAnsi="Times New Roman CYR" w:cs="Times New Roman CYR"/>
                <w:sz w:val="20"/>
                <w:szCs w:val="20"/>
                <w:lang w:val="en-US"/>
              </w:rPr>
              <w:t>3</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w:t>
            </w:r>
            <w:r>
              <w:rPr>
                <w:rFonts w:ascii="Times New Roman CYR" w:hAnsi="Times New Roman CYR" w:cs="Times New Roman CYR"/>
                <w:sz w:val="20"/>
                <w:szCs w:val="20"/>
              </w:rPr>
              <w:t>1250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-0.0598</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w:t>
            </w:r>
            <w:r>
              <w:rPr>
                <w:rFonts w:ascii="Times New Roman CYR" w:hAnsi="Times New Roman CYR" w:cs="Times New Roman CYR"/>
                <w:sz w:val="20"/>
                <w:szCs w:val="20"/>
              </w:rPr>
              <w:t>631</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D13</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-0.09</w:t>
            </w:r>
            <w:r>
              <w:rPr>
                <w:rFonts w:ascii="Times New Roman CYR" w:hAnsi="Times New Roman CYR" w:cs="Times New Roman CYR"/>
                <w:sz w:val="20"/>
                <w:szCs w:val="20"/>
              </w:rPr>
              <w:t>2</w:t>
            </w:r>
            <w:r>
              <w:rPr>
                <w:rFonts w:ascii="Times New Roman CYR" w:hAnsi="Times New Roman CYR" w:cs="Times New Roman CYR"/>
                <w:sz w:val="20"/>
                <w:szCs w:val="20"/>
                <w:lang w:val="en-US"/>
              </w:rPr>
              <w:t>0</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0.09</w:t>
            </w:r>
            <w:r>
              <w:rPr>
                <w:rFonts w:ascii="Times New Roman CYR" w:hAnsi="Times New Roman CYR" w:cs="Times New Roman CYR"/>
                <w:sz w:val="20"/>
                <w:szCs w:val="20"/>
              </w:rPr>
              <w:t>52</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D14</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-0.0615</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-0.05</w:t>
            </w:r>
            <w:r>
              <w:rPr>
                <w:rFonts w:ascii="Times New Roman CYR" w:hAnsi="Times New Roman CYR" w:cs="Times New Roman CYR"/>
                <w:sz w:val="20"/>
                <w:szCs w:val="20"/>
              </w:rPr>
              <w:t>25</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M12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-0.</w:t>
            </w:r>
            <w:r>
              <w:rPr>
                <w:rFonts w:ascii="Times New Roman CYR" w:hAnsi="Times New Roman CYR" w:cs="Times New Roman CYR"/>
                <w:sz w:val="20"/>
                <w:szCs w:val="20"/>
              </w:rPr>
              <w:t>0</w:t>
            </w:r>
            <w:r>
              <w:rPr>
                <w:rFonts w:ascii="Times New Roman CYR" w:hAnsi="Times New Roman CYR" w:cs="Times New Roman CYR"/>
                <w:sz w:val="20"/>
                <w:szCs w:val="20"/>
                <w:lang w:val="en-US"/>
              </w:rPr>
              <w:t>3</w:t>
            </w:r>
            <w:r>
              <w:rPr>
                <w:rFonts w:ascii="Times New Roman CYR" w:hAnsi="Times New Roman CYR" w:cs="Times New Roman CYR"/>
                <w:sz w:val="20"/>
                <w:szCs w:val="20"/>
              </w:rPr>
              <w:t>2</w:t>
            </w:r>
            <w:r>
              <w:rPr>
                <w:rFonts w:ascii="Times New Roman CYR" w:hAnsi="Times New Roman CYR" w:cs="Times New Roman CYR"/>
                <w:sz w:val="20"/>
                <w:szCs w:val="20"/>
                <w:lang w:val="en-US"/>
              </w:rPr>
              <w:t>3</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Скорректированный R2</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t>0.1487</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0.1473</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c>
          <w:tcPr>
            <w:tcW w:w="291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lang w:val="en-US"/>
              </w:rPr>
              <w:lastRenderedPageBreak/>
              <w:t>F-</w:t>
            </w:r>
            <w:r>
              <w:rPr>
                <w:rFonts w:ascii="Times New Roman CYR" w:hAnsi="Times New Roman CYR" w:cs="Times New Roman CYR"/>
                <w:sz w:val="20"/>
                <w:szCs w:val="20"/>
              </w:rPr>
              <w:t>статистика</w:t>
            </w:r>
          </w:p>
        </w:tc>
        <w:tc>
          <w:tcPr>
            <w:tcW w:w="107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15.38</w:t>
            </w:r>
          </w:p>
        </w:tc>
        <w:tc>
          <w:tcPr>
            <w:tcW w:w="66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w:t>
            </w:r>
          </w:p>
        </w:tc>
        <w:tc>
          <w:tcPr>
            <w:tcW w:w="1006"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15.30</w:t>
            </w:r>
          </w:p>
        </w:tc>
        <w:tc>
          <w:tcPr>
            <w:tcW w:w="67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w:t>
            </w:r>
          </w:p>
        </w:tc>
      </w:tr>
      <w:tr w:rsidR="00000000">
        <w:tblPrEx>
          <w:tblCellMar>
            <w:top w:w="0" w:type="dxa"/>
            <w:bottom w:w="0" w:type="dxa"/>
          </w:tblCellMar>
        </w:tblPrEx>
        <w:tc>
          <w:tcPr>
            <w:tcW w:w="6341" w:type="dxa"/>
            <w:gridSpan w:val="5"/>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Звездочки показывают уровень значимости: *** - 1%, ** - 5%, * - 10% Источник: расчеты автора</w:t>
            </w:r>
          </w:p>
        </w:tc>
      </w:tr>
    </w:tbl>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Включение в модель</w:t>
      </w:r>
      <w:r>
        <w:rPr>
          <w:rFonts w:ascii="Times New Roman CYR" w:hAnsi="Times New Roman CYR" w:cs="Times New Roman CYR"/>
          <w:sz w:val="28"/>
          <w:szCs w:val="28"/>
        </w:rPr>
        <w:t xml:space="preserve"> фактора, отвечающего за факт наличия сделки слияния в прошлом, не изменяет направления связи в регрессии. Сам факт наличия сделки слияния не оказывает значимого влияния на приток средств в фонды. Возможно сказывается недостаточный объем выборки, а возможн</w:t>
      </w:r>
      <w:r>
        <w:rPr>
          <w:rFonts w:ascii="Times New Roman CYR" w:hAnsi="Times New Roman CYR" w:cs="Times New Roman CYR"/>
          <w:sz w:val="28"/>
          <w:szCs w:val="28"/>
        </w:rPr>
        <w:t>о, устойчивые результаты, полученные в однофакторном анализе ранее, объяснялись другими переменными, при учете влияния которых влияние слияния нивелировалось. Это соотносится с результатами Джаярамана о том, что инвесторы не сразу положительно реагируют на</w:t>
      </w:r>
      <w:r>
        <w:rPr>
          <w:rFonts w:ascii="Times New Roman CYR" w:hAnsi="Times New Roman CYR" w:cs="Times New Roman CYR"/>
          <w:sz w:val="28"/>
          <w:szCs w:val="28"/>
        </w:rPr>
        <w:t xml:space="preserve"> проведение сделок слияния, ожидая получения больше информации о поведении доходности нового фонда</w:t>
      </w:r>
      <w:r>
        <w:rPr>
          <w:rFonts w:ascii="Times New Roman CYR" w:hAnsi="Times New Roman CYR" w:cs="Times New Roman CYR"/>
          <w:noProof/>
          <w:sz w:val="28"/>
          <w:szCs w:val="28"/>
        </w:rPr>
        <w:t xml:space="preserve"> (Jayaraman, et al., 2002)</w:t>
      </w:r>
      <w:r>
        <w:rPr>
          <w:rFonts w:ascii="Times New Roman CYR" w:hAnsi="Times New Roman CYR" w:cs="Times New Roman CYR"/>
          <w:sz w:val="28"/>
          <w:szCs w:val="28"/>
        </w:rPr>
        <w:t>. Возможно, при увеличении горизонта после сделки можно будет выявить влияние данного фактора.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гипотеза 18, об отрица</w:t>
      </w:r>
      <w:r>
        <w:rPr>
          <w:rFonts w:ascii="Times New Roman CYR" w:hAnsi="Times New Roman CYR" w:cs="Times New Roman CYR"/>
          <w:sz w:val="28"/>
          <w:szCs w:val="28"/>
        </w:rPr>
        <w:t>тельном влиянии сделок межсемейного слияния фондов на российском рынке, не подтверждается.</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на приток инвестиций в российские ПИФы положительно влияют доходность текущего периода и размер активов под управлением фонда. Отрицательное влияние в</w:t>
      </w:r>
      <w:r>
        <w:rPr>
          <w:rFonts w:ascii="Times New Roman CYR" w:hAnsi="Times New Roman CYR" w:cs="Times New Roman CYR"/>
          <w:sz w:val="28"/>
          <w:szCs w:val="28"/>
        </w:rPr>
        <w:t>ыявлено у переменных возраста фонда и размера комиссий при покупке паев. Влияние доходности предыдущего года, притока инвестиций в предыдущем году, размера комиссий управляющему и комиссий при погашении паев фонда признано незначимым.</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Значимое отрицательно</w:t>
      </w:r>
      <w:r>
        <w:rPr>
          <w:rFonts w:ascii="Times New Roman CYR" w:hAnsi="Times New Roman CYR" w:cs="Times New Roman CYR"/>
          <w:sz w:val="28"/>
          <w:szCs w:val="28"/>
        </w:rPr>
        <w:t>е влияние на приток средств оказывает временной эффект в 2009 и 2010 году.</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Модели (1.3), (2.1), (3.2) и (4.1) также модифицировались путем добавления в них фиксированных и случайных эффектов для учета панельной структуры данных. Однако тесты Вальда (для вы</w:t>
      </w:r>
      <w:r>
        <w:rPr>
          <w:rFonts w:ascii="Times New Roman CYR" w:hAnsi="Times New Roman CYR" w:cs="Times New Roman CYR"/>
          <w:sz w:val="28"/>
          <w:szCs w:val="28"/>
        </w:rPr>
        <w:t xml:space="preserve">бора между моделью с фиксированными эффектами и сквозной регрессией, т.е. моделью (1.3)) и </w:t>
      </w:r>
      <w:r>
        <w:rPr>
          <w:rFonts w:ascii="Times New Roman CYR" w:hAnsi="Times New Roman CYR" w:cs="Times New Roman CYR"/>
          <w:sz w:val="28"/>
          <w:szCs w:val="28"/>
        </w:rPr>
        <w:lastRenderedPageBreak/>
        <w:t>Бройша-Пагана (для выбора между моделью со случайными эффектами и сквозной регрессией) показали, что сквозная регрессия лучше объясняет зависимость избыточной доходн</w:t>
      </w:r>
      <w:r>
        <w:rPr>
          <w:rFonts w:ascii="Times New Roman CYR" w:hAnsi="Times New Roman CYR" w:cs="Times New Roman CYR"/>
          <w:sz w:val="28"/>
          <w:szCs w:val="28"/>
        </w:rPr>
        <w:t>ости от рассматриваемых факторов. Данный результат был ожидаем, так как в изучаемой панели мало периодов, а для данных такого формата редко применяются модели, учитывающие панельную структуру данных.</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Выводы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результате исследования детерминант избыточно</w:t>
      </w:r>
      <w:r>
        <w:rPr>
          <w:rFonts w:ascii="Times New Roman CYR" w:hAnsi="Times New Roman CYR" w:cs="Times New Roman CYR"/>
          <w:sz w:val="28"/>
          <w:szCs w:val="28"/>
        </w:rPr>
        <w:t>й доходности российский паевых инвестиционных фондов, было выявлено положительное влияние следующих факторов: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Приток средств текущего периода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Размер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Отрицательно на доходность влияет фактор возраста фонда.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Это подтверждает спекулятивную направлен</w:t>
      </w:r>
      <w:r>
        <w:rPr>
          <w:rFonts w:ascii="Times New Roman CYR" w:hAnsi="Times New Roman CYR" w:cs="Times New Roman CYR"/>
          <w:sz w:val="28"/>
          <w:szCs w:val="28"/>
        </w:rPr>
        <w:t>ность российских инвесторов, их ориентацию на краткосрочный результат, а также более высокое доверие к крупным фондам. Значимого эффекта от наличия сделки слияния в прошлом году обнаружено не было. Временные эффекты имеют очень высокую значимость, что косв</w:t>
      </w:r>
      <w:r>
        <w:rPr>
          <w:rFonts w:ascii="Times New Roman CYR" w:hAnsi="Times New Roman CYR" w:cs="Times New Roman CYR"/>
          <w:sz w:val="28"/>
          <w:szCs w:val="28"/>
        </w:rPr>
        <w:t>енно указывает на сильную зависимость фондов от внешних факторов.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анализе факторов, влияющих на приток инвестиций в фонды, было выявлено положительное влияние текущей доходности и размера фонда и отрицательное влияние возраста фонда и размера надбавок.</w:t>
      </w:r>
      <w:r>
        <w:rPr>
          <w:rFonts w:ascii="Times New Roman CYR" w:hAnsi="Times New Roman CYR" w:cs="Times New Roman CYR"/>
          <w:sz w:val="28"/>
          <w:szCs w:val="28"/>
        </w:rPr>
        <w:t xml:space="preserve"> Временные эффекты значимы только в период после кризиса (2009 и 2010 год) и имеют отрицательное влияние.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Заключение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данной работе был проведен анализ факторов, влияющих на доходность и приток средств в российские паевые инвестиционные фонды и направле</w:t>
      </w:r>
      <w:r>
        <w:rPr>
          <w:rFonts w:ascii="Times New Roman CYR" w:hAnsi="Times New Roman CYR" w:cs="Times New Roman CYR"/>
          <w:sz w:val="28"/>
          <w:szCs w:val="28"/>
        </w:rPr>
        <w:t>ние влияния этих факторов.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российском рынке выявлено наличие краткосрочного эффекта "умных денег" (наблюдается положительная зависимость избыточной доходности от притока средств текущего периода), однако влияние этого фактора можно объяснить предположит</w:t>
      </w:r>
      <w:r>
        <w:rPr>
          <w:rFonts w:ascii="Times New Roman CYR" w:hAnsi="Times New Roman CYR" w:cs="Times New Roman CYR"/>
          <w:sz w:val="28"/>
          <w:szCs w:val="28"/>
        </w:rPr>
        <w:t>ельно наличием краткосрочного моментум-эффекта. Кроме того, положительное влияние на доходность фондов оказывает размер фонда, что говорит о том, что эффект от возможности нанять более хорошего управляющего на российском рынке нивелирует эффект возрастающи</w:t>
      </w:r>
      <w:r>
        <w:rPr>
          <w:rFonts w:ascii="Times New Roman CYR" w:hAnsi="Times New Roman CYR" w:cs="Times New Roman CYR"/>
          <w:sz w:val="28"/>
          <w:szCs w:val="28"/>
        </w:rPr>
        <w:t>х издержек по поддержанию ликвидности паев, в отличие от американского рынка. Выявлено наличие отрицательной зависимости между размером фонда и его доходностью.</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факторов, влияющих на приток средств в фонды, выявлено положительное влияние доход</w:t>
      </w:r>
      <w:r>
        <w:rPr>
          <w:rFonts w:ascii="Times New Roman CYR" w:hAnsi="Times New Roman CYR" w:cs="Times New Roman CYR"/>
          <w:sz w:val="28"/>
          <w:szCs w:val="28"/>
        </w:rPr>
        <w:t>ности текущего периода и размера фонда, что подтверждает спекулятивную направленность российских инвесторов и высокий уровень доверия к крупным фондам. Возраст фонда и размер его надбавок отрицательно влияет на приток инвесторов.</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обоих случаях выявлено з</w:t>
      </w:r>
      <w:r>
        <w:rPr>
          <w:rFonts w:ascii="Times New Roman CYR" w:hAnsi="Times New Roman CYR" w:cs="Times New Roman CYR"/>
          <w:sz w:val="28"/>
          <w:szCs w:val="28"/>
        </w:rPr>
        <w:t>начимое влияние временных эффектов, что говорит о сильной зависимости индустрии от внешних факторов, причем не только крупных шоков, таких как мировой финансовый кризис.</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Влияние эффекта сделок слияния неоднозначно: однофакторный анализ показал значимое уве</w:t>
      </w:r>
      <w:r>
        <w:rPr>
          <w:rFonts w:ascii="Times New Roman CYR" w:hAnsi="Times New Roman CYR" w:cs="Times New Roman CYR"/>
          <w:sz w:val="28"/>
          <w:szCs w:val="28"/>
        </w:rPr>
        <w:t>личение доходности после сделки и снижение притока инвестиций, однако многофакторная модель не выявила значимой зависимости. Возможное объяснение этому факту - недостаточный размер выборке и период, прошедший с момента последней волны консолидации рынка.</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lastRenderedPageBreak/>
        <w:t>Список</w:t>
      </w:r>
      <w:r>
        <w:rPr>
          <w:rFonts w:ascii="Times New Roman CYR" w:hAnsi="Times New Roman CYR" w:cs="Times New Roman CYR"/>
          <w:b/>
          <w:bCs/>
          <w:sz w:val="28"/>
          <w:szCs w:val="28"/>
          <w:lang w:val="en-US"/>
        </w:rPr>
        <w:t xml:space="preserve"> </w:t>
      </w:r>
      <w:r>
        <w:rPr>
          <w:rFonts w:ascii="Times New Roman CYR" w:hAnsi="Times New Roman CYR" w:cs="Times New Roman CYR"/>
          <w:b/>
          <w:bCs/>
          <w:sz w:val="28"/>
          <w:szCs w:val="28"/>
        </w:rPr>
        <w:t>использованной</w:t>
      </w:r>
      <w:r>
        <w:rPr>
          <w:rFonts w:ascii="Times New Roman CYR" w:hAnsi="Times New Roman CYR" w:cs="Times New Roman CYR"/>
          <w:b/>
          <w:bCs/>
          <w:sz w:val="28"/>
          <w:szCs w:val="28"/>
          <w:lang w:val="en-US"/>
        </w:rPr>
        <w:t xml:space="preserve"> </w:t>
      </w:r>
      <w:r>
        <w:rPr>
          <w:rFonts w:ascii="Times New Roman CYR" w:hAnsi="Times New Roman CYR" w:cs="Times New Roman CYR"/>
          <w:b/>
          <w:bCs/>
          <w:sz w:val="28"/>
          <w:szCs w:val="28"/>
        </w:rPr>
        <w:t>литературы</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1.</w:t>
      </w:r>
      <w:r>
        <w:rPr>
          <w:rFonts w:ascii="Times New Roman CYR" w:hAnsi="Times New Roman CYR" w:cs="Times New Roman CYR"/>
          <w:sz w:val="28"/>
          <w:szCs w:val="28"/>
          <w:lang w:val="en-US"/>
        </w:rPr>
        <w:tab/>
        <w:t>Allen D. E., Parwada J. T. Investors' response to mutual fund company mergers //International Journal of Managerial Finance. - 2006. - Т. 2. - №. 2. - С. 121-135.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Alves C., Mendes V. Does performance explain mutual fu</w:t>
      </w:r>
      <w:r>
        <w:rPr>
          <w:rFonts w:ascii="Times New Roman CYR" w:hAnsi="Times New Roman CYR" w:cs="Times New Roman CYR"/>
          <w:sz w:val="28"/>
          <w:szCs w:val="28"/>
          <w:lang w:val="en-US"/>
        </w:rPr>
        <w:t>nd flows in small markets? The case of Portugal //Portuguese Economic Journal. - 2011. - Т. 10. - №. 2. - С. 129-147.</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Andreu L., Sarto J. L. Financial consequences of mutual fund mergers //The European Journal of Finance. - 2013. - С. 1-22.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Basu A., An</w:t>
      </w:r>
      <w:r>
        <w:rPr>
          <w:rFonts w:ascii="Times New Roman CYR" w:hAnsi="Times New Roman CYR" w:cs="Times New Roman CYR"/>
          <w:sz w:val="28"/>
          <w:szCs w:val="28"/>
          <w:lang w:val="en-US"/>
        </w:rPr>
        <w:t>drews S. Asset allocation policy, returns and expenses of superannuation funds: recent evidence based on default options //Australian Economic Review. - 2014. - Т. 47. - №. 1. - С. 63-77.</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 xml:space="preserve">Bergstresser D., Chalmers J. M. R., Tufano P. Assessing the Costs </w:t>
      </w:r>
      <w:r>
        <w:rPr>
          <w:rFonts w:ascii="Times New Roman CYR" w:hAnsi="Times New Roman CYR" w:cs="Times New Roman CYR"/>
          <w:sz w:val="28"/>
          <w:szCs w:val="28"/>
          <w:lang w:val="en-US"/>
        </w:rPr>
        <w:t xml:space="preserve">and Benefits of Brokers in the Mutual Fund Industry //Review of Financial Studies. - 2009. - Т. 22. - №. 10. - </w:t>
      </w:r>
      <w:r>
        <w:rPr>
          <w:rFonts w:ascii="Times New Roman CYR" w:hAnsi="Times New Roman CYR" w:cs="Times New Roman CYR"/>
          <w:sz w:val="28"/>
          <w:szCs w:val="28"/>
        </w:rPr>
        <w:t>С</w:t>
      </w:r>
      <w:r>
        <w:rPr>
          <w:rFonts w:ascii="Times New Roman CYR" w:hAnsi="Times New Roman CYR" w:cs="Times New Roman CYR"/>
          <w:sz w:val="28"/>
          <w:szCs w:val="28"/>
          <w:lang w:val="en-US"/>
        </w:rPr>
        <w:t>. 4129-4156.</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 xml:space="preserve">Berk J. B., Green R. C. Mutual fund flows and performance in rational markets // Journal of Political Economy. - 2004. - </w:t>
      </w:r>
      <w:r>
        <w:rPr>
          <w:rFonts w:ascii="Times New Roman CYR" w:hAnsi="Times New Roman CYR" w:cs="Times New Roman CYR"/>
          <w:sz w:val="28"/>
          <w:szCs w:val="28"/>
        </w:rPr>
        <w:t>Т</w:t>
      </w:r>
      <w:r>
        <w:rPr>
          <w:rFonts w:ascii="Times New Roman CYR" w:hAnsi="Times New Roman CYR" w:cs="Times New Roman CYR"/>
          <w:sz w:val="28"/>
          <w:szCs w:val="28"/>
          <w:lang w:val="en-US"/>
        </w:rPr>
        <w:t xml:space="preserve">. 112. </w:t>
      </w:r>
      <w:r>
        <w:rPr>
          <w:rFonts w:ascii="Times New Roman CYR" w:hAnsi="Times New Roman CYR" w:cs="Times New Roman CYR"/>
          <w:sz w:val="28"/>
          <w:szCs w:val="28"/>
          <w:lang w:val="en-US"/>
        </w:rPr>
        <w:t xml:space="preserve">- №. 6. - </w:t>
      </w:r>
      <w:r>
        <w:rPr>
          <w:rFonts w:ascii="Times New Roman CYR" w:hAnsi="Times New Roman CYR" w:cs="Times New Roman CYR"/>
          <w:sz w:val="28"/>
          <w:szCs w:val="28"/>
        </w:rPr>
        <w:t>С</w:t>
      </w:r>
      <w:r>
        <w:rPr>
          <w:rFonts w:ascii="Times New Roman CYR" w:hAnsi="Times New Roman CYR" w:cs="Times New Roman CYR"/>
          <w:sz w:val="28"/>
          <w:szCs w:val="28"/>
          <w:lang w:val="en-US"/>
        </w:rPr>
        <w:t>. 1269-1295.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Brinson G. P., Hood L. R., Beebower G. L. Determinants of portfolio performance //Financial Analysts Journal. - 1995. - Т. 51. - №. 1. - С. 133-138.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 xml:space="preserve">Brown S. J., Goetzmann W. N. Performance persistence //The Journal of Finance. </w:t>
      </w:r>
      <w:r>
        <w:rPr>
          <w:rFonts w:ascii="Times New Roman CYR" w:hAnsi="Times New Roman CYR" w:cs="Times New Roman CYR"/>
          <w:sz w:val="28"/>
          <w:szCs w:val="28"/>
          <w:lang w:val="en-US"/>
        </w:rPr>
        <w:t>- 1995. - Т. 50. - №. 2. - С. 679-698.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Carhart M. M. On persistence in mutual fund performance //The Journal of Finance. - 1997. - Т. 52. - №. 1. - С. 57-82.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Chen J., Hong H., Huang M., Kubik J. Does fund size erode mutual fund performance? The role of</w:t>
      </w:r>
      <w:r>
        <w:rPr>
          <w:rFonts w:ascii="Times New Roman CYR" w:hAnsi="Times New Roman CYR" w:cs="Times New Roman CYR"/>
          <w:sz w:val="28"/>
          <w:szCs w:val="28"/>
          <w:lang w:val="en-US"/>
        </w:rPr>
        <w:t xml:space="preserve"> liquidity and organization //American Economic Review. - 2004. - Т. 94. - №. 5. - С. 1276-1302.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Chevalier J., Ellison G. Risk Taking by Mutual Funds as a Response to Incentives. // Journal of Political Economy. - 1997. T. 105. - №. 6.</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Chou W. H., Hard</w:t>
      </w:r>
      <w:r>
        <w:rPr>
          <w:rFonts w:ascii="Times New Roman CYR" w:hAnsi="Times New Roman CYR" w:cs="Times New Roman CYR"/>
          <w:sz w:val="28"/>
          <w:szCs w:val="28"/>
          <w:lang w:val="en-US"/>
        </w:rPr>
        <w:t>in III W. G. Performance chasing, fund flows and fund size in real estate mutual funds // The Journal of Real Estate Finance and Economics. - 2014. - Т. 49. - №. 3. - С. 379-412.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Drew M. E., Stanford J. D. Is there a positive relationship between superan</w:t>
      </w:r>
      <w:r>
        <w:rPr>
          <w:rFonts w:ascii="Times New Roman CYR" w:hAnsi="Times New Roman CYR" w:cs="Times New Roman CYR"/>
          <w:sz w:val="28"/>
          <w:szCs w:val="28"/>
          <w:lang w:val="en-US"/>
        </w:rPr>
        <w:t>nuation fund costs and returns? //Economic Papers: A Journal of Applied Economics and Policy. - 2003. - Т. 22. - №. 3. - С. 74-84.</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Elton E., Gruber M., Das S., Hlavka M. Efficiency with costly information: A reinterpretation of evidence from managed port</w:t>
      </w:r>
      <w:r>
        <w:rPr>
          <w:rFonts w:ascii="Times New Roman CYR" w:hAnsi="Times New Roman CYR" w:cs="Times New Roman CYR"/>
          <w:sz w:val="28"/>
          <w:szCs w:val="28"/>
          <w:lang w:val="en-US"/>
        </w:rPr>
        <w:t>folios //Review of Financial studies. - 1993. - Т. 6. - №. 1. - С. 1-22.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Elton E. J., Gruber M. J., Das S., Blake C. R. The persistence of risk-adjusted mutual fund performance. - 1995. // Journal of Business. - 1996. - T. 69. - С. 133-157.</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Ferreira M.</w:t>
      </w:r>
      <w:r>
        <w:rPr>
          <w:rFonts w:ascii="Times New Roman CYR" w:hAnsi="Times New Roman CYR" w:cs="Times New Roman CYR"/>
          <w:sz w:val="28"/>
          <w:szCs w:val="28"/>
          <w:lang w:val="en-US"/>
        </w:rPr>
        <w:t xml:space="preserve">, Keswani A., Miguel A., Ramos S. The Determinants of Mutual Fund Performance: A Cross-Country Study // Review of Finance. - 2013. - </w:t>
      </w:r>
      <w:r>
        <w:rPr>
          <w:rFonts w:ascii="Times New Roman CYR" w:hAnsi="Times New Roman CYR" w:cs="Times New Roman CYR"/>
          <w:sz w:val="28"/>
          <w:szCs w:val="28"/>
        </w:rPr>
        <w:t>Т</w:t>
      </w:r>
      <w:r>
        <w:rPr>
          <w:rFonts w:ascii="Times New Roman CYR" w:hAnsi="Times New Roman CYR" w:cs="Times New Roman CYR"/>
          <w:sz w:val="28"/>
          <w:szCs w:val="28"/>
          <w:lang w:val="en-US"/>
        </w:rPr>
        <w:t xml:space="preserve">. 17. - </w:t>
      </w:r>
      <w:r>
        <w:rPr>
          <w:rFonts w:ascii="Times New Roman CYR" w:hAnsi="Times New Roman CYR" w:cs="Times New Roman CYR"/>
          <w:sz w:val="28"/>
          <w:szCs w:val="28"/>
        </w:rPr>
        <w:t>С</w:t>
      </w:r>
      <w:r>
        <w:rPr>
          <w:rFonts w:ascii="Times New Roman CYR" w:hAnsi="Times New Roman CYR" w:cs="Times New Roman CYR"/>
          <w:sz w:val="28"/>
          <w:szCs w:val="28"/>
          <w:lang w:val="en-US"/>
        </w:rPr>
        <w:t>. 483-525.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Goetzmann W. N., Peles N. Cognitive dissonance and mutual fund investors // Journal of Financial Res</w:t>
      </w:r>
      <w:r>
        <w:rPr>
          <w:rFonts w:ascii="Times New Roman CYR" w:hAnsi="Times New Roman CYR" w:cs="Times New Roman CYR"/>
          <w:sz w:val="28"/>
          <w:szCs w:val="28"/>
          <w:lang w:val="en-US"/>
        </w:rPr>
        <w:t>earch. - 1997. - Т. 20. - №. 2. - С. 145-158.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Goetzmann W.., Ibbotoson R. G. Do winners repeat? Patterns in mutual fund performance //Journal of Portfolio Management. - 1994. - Т. 20. - №. 9. - С. 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Greene J. T., Hodges C. W., Rakowski D. A. Daily mut</w:t>
      </w:r>
      <w:r>
        <w:rPr>
          <w:rFonts w:ascii="Times New Roman CYR" w:hAnsi="Times New Roman CYR" w:cs="Times New Roman CYR"/>
          <w:sz w:val="28"/>
          <w:szCs w:val="28"/>
          <w:lang w:val="en-US"/>
        </w:rPr>
        <w:t>ual fund flows and redemption policies //Journal of Banking &amp; Finance. - 2007. - Т. 31. - №. 12. - С. 3822-3842.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Grinblatt M., Titman S., Wermers R. Momentum investment strategies, portfolio performance, and herding: A study of mutual fund behavior //The</w:t>
      </w:r>
      <w:r>
        <w:rPr>
          <w:rFonts w:ascii="Times New Roman CYR" w:hAnsi="Times New Roman CYR" w:cs="Times New Roman CYR"/>
          <w:sz w:val="28"/>
          <w:szCs w:val="28"/>
          <w:lang w:val="en-US"/>
        </w:rPr>
        <w:t xml:space="preserve"> American Economic Review. - 1995. - С. 1088-1105.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Grinblatt M., Titman S. The persistence of mutual fund performance //The Journal of Finance. - 1992. - Т. 47. - №. 5. - С. 1977-1984.</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r>
      <w:r>
        <w:rPr>
          <w:rFonts w:ascii="Times New Roman CYR" w:hAnsi="Times New Roman CYR" w:cs="Times New Roman CYR"/>
          <w:sz w:val="28"/>
          <w:szCs w:val="28"/>
          <w:lang w:val="en-US"/>
        </w:rPr>
        <w:t>Gruber M. J. Another puzzle: The growth in actively managed mutual funds //The Journal of Finance. - 1996. - Т. 51. - №. 3. - С. 783-810.</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Haque T., Ahmed A. D. The Relationship between Australian Mutual Fund Fees and Risk</w:t>
      </w:r>
      <w:r>
        <w:rPr>
          <w:rFonts w:ascii="Cambria Math" w:hAnsi="Cambria Math" w:cs="Cambria Math"/>
          <w:sz w:val="28"/>
          <w:szCs w:val="28"/>
          <w:lang w:val="en-US"/>
        </w:rPr>
        <w:t>‐</w:t>
      </w:r>
      <w:r>
        <w:rPr>
          <w:rFonts w:ascii="Times New Roman CYR" w:hAnsi="Times New Roman CYR" w:cs="Times New Roman CYR"/>
          <w:sz w:val="28"/>
          <w:szCs w:val="28"/>
          <w:lang w:val="en-US"/>
        </w:rPr>
        <w:t>Adjusted Performance in Differin</w:t>
      </w:r>
      <w:r>
        <w:rPr>
          <w:rFonts w:ascii="Times New Roman CYR" w:hAnsi="Times New Roman CYR" w:cs="Times New Roman CYR"/>
          <w:sz w:val="28"/>
          <w:szCs w:val="28"/>
          <w:lang w:val="en-US"/>
        </w:rPr>
        <w:t>g Economic Conditions //Australian Economic Papers. - 2015. - Т. 54. - №. 1. - С. 1-21.</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Hendricks D., Patel J., Zeckhauser R. Hot hands in mutual funds: Short</w:t>
      </w:r>
      <w:r>
        <w:rPr>
          <w:rFonts w:ascii="Cambria Math" w:hAnsi="Cambria Math" w:cs="Cambria Math"/>
          <w:sz w:val="28"/>
          <w:szCs w:val="28"/>
          <w:lang w:val="en-US"/>
        </w:rPr>
        <w:t>‐</w:t>
      </w:r>
      <w:r>
        <w:rPr>
          <w:rFonts w:ascii="Times New Roman CYR" w:hAnsi="Times New Roman CYR" w:cs="Times New Roman CYR"/>
          <w:sz w:val="28"/>
          <w:szCs w:val="28"/>
          <w:lang w:val="en-US"/>
        </w:rPr>
        <w:t>run persistence of relative performance, 1974-1988 //The Journal of Finance. - 1993. - Т. 48. -</w:t>
      </w:r>
      <w:r>
        <w:rPr>
          <w:rFonts w:ascii="Times New Roman CYR" w:hAnsi="Times New Roman CYR" w:cs="Times New Roman CYR"/>
          <w:sz w:val="28"/>
          <w:szCs w:val="28"/>
          <w:lang w:val="en-US"/>
        </w:rPr>
        <w:t xml:space="preserve"> №. 1. - С. 93-130.</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Investment Company Institute. Investment Company Fact Book: A Review of Tredns and Activities in the U.S. Investment Company Industry. - 2015. - p. 312.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Ippolito R. A. Consumer reaction to measures of poor quality: Evidence from the</w:t>
      </w:r>
      <w:r>
        <w:rPr>
          <w:rFonts w:ascii="Times New Roman CYR" w:hAnsi="Times New Roman CYR" w:cs="Times New Roman CYR"/>
          <w:sz w:val="28"/>
          <w:szCs w:val="28"/>
          <w:lang w:val="en-US"/>
        </w:rPr>
        <w:t xml:space="preserve"> mutual fund industry //The Journal of Law &amp; Economics. - 1992. - Т. 35. - №. 1. - С. 45-70.</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 xml:space="preserve">Jank S., Wedow M. Purchase and redemption decisions of mutual fund investors and the role of fund families //The European Journal of Finance. - 2013. - Т. 19. - </w:t>
      </w:r>
      <w:r>
        <w:rPr>
          <w:rFonts w:ascii="Times New Roman CYR" w:hAnsi="Times New Roman CYR" w:cs="Times New Roman CYR"/>
          <w:sz w:val="28"/>
          <w:szCs w:val="28"/>
          <w:lang w:val="en-US"/>
        </w:rPr>
        <w:t>№. 2. - С. 127-144.</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Jayaraman N., Khorana A., Nelling E. An analysis of the determinants and shareholder wealth effects of mutual fund mergers //The Journal of Finance. - 2002. - Т. 57. - №. 3. - С. 1521-1551.</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Kaushik A. The impact of flow of funds and</w:t>
      </w:r>
      <w:r>
        <w:rPr>
          <w:rFonts w:ascii="Times New Roman CYR" w:hAnsi="Times New Roman CYR" w:cs="Times New Roman CYR"/>
          <w:sz w:val="28"/>
          <w:szCs w:val="28"/>
          <w:lang w:val="en-US"/>
        </w:rPr>
        <w:t xml:space="preserve"> management style on abnormal performance //Journal of Asset Management. - 2012. - Т. 13. - №. 5. - С. 327-338.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Khorana A., Tufano P., Wedge L. Board structure, mergers, and shareholder wealth: A study of the mutual fund industry //Journal of Financial E</w:t>
      </w:r>
      <w:r>
        <w:rPr>
          <w:rFonts w:ascii="Times New Roman CYR" w:hAnsi="Times New Roman CYR" w:cs="Times New Roman CYR"/>
          <w:sz w:val="28"/>
          <w:szCs w:val="28"/>
          <w:lang w:val="en-US"/>
        </w:rPr>
        <w:t>conomics. - 2007. - Т. 85. - №. 2. - С. 571-598.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Lynch A. W., Musto D. K. How investors interpret past fund returns //The Journal of Finance. - 2003. - Т. 58. - №. 5. - С. 2033-2058.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Park M. Understanding merger incentives and outcomes in the US mutual</w:t>
      </w:r>
      <w:r>
        <w:rPr>
          <w:rFonts w:ascii="Times New Roman CYR" w:hAnsi="Times New Roman CYR" w:cs="Times New Roman CYR"/>
          <w:sz w:val="28"/>
          <w:szCs w:val="28"/>
          <w:lang w:val="en-US"/>
        </w:rPr>
        <w:t xml:space="preserve"> fund industry //Journal of Banking &amp; Finance. - 2013. - Т. 37. - №. 11. - С. 4368-4380.</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Pollet J. M., Wilson M. How does size affect mutual fund behavior? //The Journal of Finance. - 2008. - Т. 63. - №. 6. - С. 2941-2969.</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Rakowski D. Fund Flow Volatil</w:t>
      </w:r>
      <w:r>
        <w:rPr>
          <w:rFonts w:ascii="Times New Roman CYR" w:hAnsi="Times New Roman CYR" w:cs="Times New Roman CYR"/>
          <w:sz w:val="28"/>
          <w:szCs w:val="28"/>
          <w:lang w:val="en-US"/>
        </w:rPr>
        <w:t>ity and Performance //Journal of Financial and Quantitative Analysis. - 2010. - Т. 45. - №. 01. - С. 223-237.</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w:hAnsi="Times New Roman" w:cs="Times New Roman"/>
          <w:sz w:val="28"/>
          <w:szCs w:val="28"/>
          <w:lang w:val="en-US"/>
        </w:rPr>
        <w:t>35.</w:t>
      </w:r>
      <w:r>
        <w:rPr>
          <w:rFonts w:ascii="Times New Roman" w:hAnsi="Times New Roman" w:cs="Times New Roman"/>
          <w:sz w:val="28"/>
          <w:szCs w:val="28"/>
          <w:lang w:val="en-US"/>
        </w:rPr>
        <w:tab/>
        <w:t>Ruiz-Verdú P., Gil-Bazo J. Yet Another Puzzle? The Relation between P</w:t>
      </w:r>
      <w:r>
        <w:rPr>
          <w:rFonts w:ascii="Times New Roman CYR" w:hAnsi="Times New Roman CYR" w:cs="Times New Roman CYR"/>
          <w:sz w:val="28"/>
          <w:szCs w:val="28"/>
          <w:lang w:val="en-US"/>
        </w:rPr>
        <w:t>rice and Performance in the Mutual Fund Industry // Universidad Carlos II</w:t>
      </w:r>
      <w:r>
        <w:rPr>
          <w:rFonts w:ascii="Times New Roman CYR" w:hAnsi="Times New Roman CYR" w:cs="Times New Roman CYR"/>
          <w:sz w:val="28"/>
          <w:szCs w:val="28"/>
          <w:lang w:val="en-US"/>
        </w:rPr>
        <w:t>I de Madrid Business Economics Working Paper. - 2007. - №. 06-65.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Sapp T., Tiwari A. Does stock return momentum explain the "smart money" effect? //The Journal of Finance. - 2004. - Т. 59. - №. 6. - С. 2605-2622.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Shinozawa Y., Vivian A. Determinants of</w:t>
      </w:r>
      <w:r>
        <w:rPr>
          <w:rFonts w:ascii="Times New Roman CYR" w:hAnsi="Times New Roman CYR" w:cs="Times New Roman CYR"/>
          <w:sz w:val="28"/>
          <w:szCs w:val="28"/>
          <w:lang w:val="en-US"/>
        </w:rPr>
        <w:t xml:space="preserve"> money flows into investment trusts in Japan //Journal of International Financial Markets, Institutions and Money. - 2015. - Т. 37. - С. 138-161.</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Sirri E. R., Tufano P. Costly search and mutual fund flows //The Journal of Finance. - 1998. - Т. 53. - №. 5</w:t>
      </w:r>
      <w:r>
        <w:rPr>
          <w:rFonts w:ascii="Times New Roman CYR" w:hAnsi="Times New Roman CYR" w:cs="Times New Roman CYR"/>
          <w:sz w:val="28"/>
          <w:szCs w:val="28"/>
          <w:lang w:val="en-US"/>
        </w:rPr>
        <w:t>. - С. 1589-1622.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Wermers R. Momentum Investment Strategies of Mutual Funds, Performance Persistence, and Survivorship Bias // University of Colorado at Boulder Working Paper. - 1996.</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Yan X. S. Liquidity, investment style, and the relation between fund</w:t>
      </w:r>
      <w:r>
        <w:rPr>
          <w:rFonts w:ascii="Times New Roman CYR" w:hAnsi="Times New Roman CYR" w:cs="Times New Roman CYR"/>
          <w:sz w:val="28"/>
          <w:szCs w:val="28"/>
          <w:lang w:val="en-US"/>
        </w:rPr>
        <w:t xml:space="preserve"> size and fund performance //Journal of Financial and Quantitative Analysis. - 2008. - Т. 43. - №. 03. - С. 741-767.</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 xml:space="preserve">Zhao X. Exit decisions in the US mutual fund industry // The Journal of Business. - 2005. - </w:t>
      </w:r>
      <w:r>
        <w:rPr>
          <w:rFonts w:ascii="Times New Roman CYR" w:hAnsi="Times New Roman CYR" w:cs="Times New Roman CYR"/>
          <w:sz w:val="28"/>
          <w:szCs w:val="28"/>
        </w:rPr>
        <w:t>Т</w:t>
      </w:r>
      <w:r>
        <w:rPr>
          <w:rFonts w:ascii="Times New Roman CYR" w:hAnsi="Times New Roman CYR" w:cs="Times New Roman CYR"/>
          <w:sz w:val="28"/>
          <w:szCs w:val="28"/>
          <w:lang w:val="en-US"/>
        </w:rPr>
        <w:t xml:space="preserve">. 78. - №. </w:t>
      </w:r>
      <w:r>
        <w:rPr>
          <w:rFonts w:ascii="Times New Roman CYR" w:hAnsi="Times New Roman CYR" w:cs="Times New Roman CYR"/>
          <w:sz w:val="28"/>
          <w:szCs w:val="28"/>
        </w:rPr>
        <w:t>4</w:t>
      </w:r>
      <w:r>
        <w:rPr>
          <w:rFonts w:ascii="Times New Roman CYR" w:hAnsi="Times New Roman CYR" w:cs="Times New Roman CYR"/>
          <w:sz w:val="28"/>
          <w:szCs w:val="28"/>
          <w:lang w:val="en-US"/>
        </w:rPr>
        <w:t xml:space="preserve"> - </w:t>
      </w:r>
      <w:r>
        <w:rPr>
          <w:rFonts w:ascii="Times New Roman CYR" w:hAnsi="Times New Roman CYR" w:cs="Times New Roman CYR"/>
          <w:sz w:val="28"/>
          <w:szCs w:val="28"/>
        </w:rPr>
        <w:t>С</w:t>
      </w:r>
      <w:r>
        <w:rPr>
          <w:rFonts w:ascii="Times New Roman CYR" w:hAnsi="Times New Roman CYR" w:cs="Times New Roman CYR"/>
          <w:sz w:val="28"/>
          <w:szCs w:val="28"/>
          <w:lang w:val="en-US"/>
        </w:rPr>
        <w:t>. 1365-1402.</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Zheng L. Is m</w:t>
      </w:r>
      <w:r>
        <w:rPr>
          <w:rFonts w:ascii="Times New Roman CYR" w:hAnsi="Times New Roman CYR" w:cs="Times New Roman CYR"/>
          <w:sz w:val="28"/>
          <w:szCs w:val="28"/>
          <w:lang w:val="en-US"/>
        </w:rPr>
        <w:t>oney smart? A study of mutual fund investors' fund selection ability //The Journal of Finance. - 1999. - Т. 54. - №. 3. - С. 901-933.</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43.</w:t>
      </w:r>
      <w:r>
        <w:rPr>
          <w:rFonts w:ascii="Times New Roman CYR" w:hAnsi="Times New Roman CYR" w:cs="Times New Roman CYR"/>
          <w:sz w:val="28"/>
          <w:szCs w:val="28"/>
        </w:rPr>
        <w:tab/>
        <w:t>Абрамов А.Е. Экономика инвестиционных фондов. - М.: Издательский дом "Дело" РАНХиГС, 2015.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Абрамов А.Е. Инвестиционн</w:t>
      </w:r>
      <w:r>
        <w:rPr>
          <w:rFonts w:ascii="Times New Roman CYR" w:hAnsi="Times New Roman CYR" w:cs="Times New Roman CYR"/>
          <w:sz w:val="28"/>
          <w:szCs w:val="28"/>
        </w:rPr>
        <w:t>ые фонды: Доходность и риски, стратегии управления портфелем, объекты инвестирования в России. - М.: Альпина Бизнес Букс, 2005.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Абрамов А.Е. Институциональные инвесторы в мире: особенности </w:t>
      </w:r>
      <w:r>
        <w:rPr>
          <w:rFonts w:ascii="Times New Roman CYR" w:hAnsi="Times New Roman CYR" w:cs="Times New Roman CYR"/>
          <w:sz w:val="28"/>
          <w:szCs w:val="28"/>
        </w:rPr>
        <w:lastRenderedPageBreak/>
        <w:t>деятельности и политика развития: в 2 кн.: кн. 1 //М.: Издательск</w:t>
      </w:r>
      <w:r>
        <w:rPr>
          <w:rFonts w:ascii="Times New Roman CYR" w:hAnsi="Times New Roman CYR" w:cs="Times New Roman CYR"/>
          <w:sz w:val="28"/>
          <w:szCs w:val="28"/>
        </w:rPr>
        <w:t>ий дом "Дело" РАНХиГС. - 2014.</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Абрамов А., Акшенцева К. Развитие взаимных фондов в России //P</w:t>
      </w:r>
      <w:r>
        <w:rPr>
          <w:rFonts w:ascii="Times New Roman" w:hAnsi="Times New Roman" w:cs="Times New Roman"/>
          <w:sz w:val="28"/>
          <w:szCs w:val="28"/>
        </w:rPr>
        <w:t xml:space="preserve">οlιtικα. - 2014. - </w:t>
      </w:r>
      <w:r>
        <w:rPr>
          <w:rFonts w:ascii="Times New Roman CYR" w:hAnsi="Times New Roman CYR" w:cs="Times New Roman CYR"/>
          <w:sz w:val="28"/>
          <w:szCs w:val="28"/>
        </w:rPr>
        <w:t>С. 35.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Батяева Т.А., Столяров И.И. Рынок ценных бумаг. - М.: ИНФРА-М, 2008.</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Камнева К. Техника слияния // Российская бизнес газета. - 12 Ф</w:t>
      </w:r>
      <w:r>
        <w:rPr>
          <w:rFonts w:ascii="Times New Roman CYR" w:hAnsi="Times New Roman CYR" w:cs="Times New Roman CYR"/>
          <w:sz w:val="28"/>
          <w:szCs w:val="28"/>
        </w:rPr>
        <w:t>евраля 2013 г. - Т. 833 - №. 5.</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Коваль Л. Как пользоваться инвестиционными счетами // Ведомости. - 30 Января 2015 г.</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Орлова Ю. ПИФов становится меньше // Ведомости. - 25 Июня 2014 г.</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Орлова Ю. ЦБ упростил объединение фондов // Ведомости. - 11 Февраля</w:t>
      </w:r>
      <w:r>
        <w:rPr>
          <w:rFonts w:ascii="Times New Roman CYR" w:hAnsi="Times New Roman CYR" w:cs="Times New Roman CYR"/>
          <w:sz w:val="28"/>
          <w:szCs w:val="28"/>
        </w:rPr>
        <w:t xml:space="preserve"> 2014 г.</w:t>
      </w:r>
    </w:p>
    <w:p w:rsidR="00000000" w:rsidRDefault="00F04042">
      <w:pPr>
        <w:widowControl w:val="0"/>
        <w:suppressAutoHyphen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Ратникова Т., Фурманов К. Анализ панельных данных и данных о длительности состояний. - М.: Издательский дом Высшей школы экономики - 2014.</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Приложение</w:t>
      </w:r>
    </w:p>
    <w:p w:rsidR="00000000"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b/>
          <w:bCs/>
          <w:sz w:val="28"/>
          <w:szCs w:val="28"/>
        </w:rPr>
      </w:pPr>
    </w:p>
    <w:tbl>
      <w:tblPr>
        <w:tblW w:w="0" w:type="auto"/>
        <w:tblInd w:w="170" w:type="dxa"/>
        <w:tblBorders>
          <w:top w:val="single" w:sz="4" w:space="0" w:color="auto"/>
          <w:left w:val="single" w:sz="4" w:space="0" w:color="auto"/>
          <w:bottom w:val="single" w:sz="4" w:space="0" w:color="auto"/>
          <w:right w:val="single" w:sz="4" w:space="0" w:color="auto"/>
        </w:tblBorders>
        <w:tblLayout w:type="fixed"/>
        <w:tblLook w:val="0000"/>
      </w:tblPr>
      <w:tblGrid>
        <w:gridCol w:w="505"/>
        <w:gridCol w:w="694"/>
        <w:gridCol w:w="1574"/>
        <w:gridCol w:w="2488"/>
        <w:gridCol w:w="660"/>
        <w:gridCol w:w="677"/>
        <w:gridCol w:w="709"/>
        <w:gridCol w:w="992"/>
        <w:gridCol w:w="709"/>
        <w:gridCol w:w="1559"/>
        <w:gridCol w:w="562"/>
        <w:gridCol w:w="702"/>
        <w:gridCol w:w="720"/>
        <w:gridCol w:w="751"/>
        <w:gridCol w:w="719"/>
      </w:tblGrid>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lang w:val="en-US"/>
              </w:rPr>
              <w:t>N</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объед.</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Название управляющей компании</w:t>
            </w:r>
          </w:p>
        </w:tc>
        <w:tc>
          <w:tcPr>
            <w:tcW w:w="6235"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Поглощаемый фонд</w:t>
            </w:r>
          </w:p>
        </w:tc>
        <w:tc>
          <w:tcPr>
            <w:tcW w:w="5013" w:type="dxa"/>
            <w:gridSpan w:val="6"/>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Поглощающий фонд</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Название фон</w:t>
            </w:r>
            <w:r>
              <w:rPr>
                <w:rFonts w:ascii="Times New Roman CYR" w:hAnsi="Times New Roman CYR" w:cs="Times New Roman CYR"/>
                <w:sz w:val="20"/>
                <w:szCs w:val="20"/>
              </w:rPr>
              <w:t>да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Тип*</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Год осн</w:t>
            </w:r>
            <w:r>
              <w:rPr>
                <w:rFonts w:ascii="Times New Roman CYR" w:hAnsi="Times New Roman CYR" w:cs="Times New Roman CYR"/>
                <w:sz w:val="20"/>
                <w:szCs w:val="20"/>
                <w:lang w:val="en-US"/>
              </w:rPr>
              <w:t>.</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Комис. УК</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Макс. надбавка</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Макс. скидка</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Название фонда</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Тип*</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lang w:val="en-US"/>
              </w:rPr>
            </w:pPr>
            <w:r>
              <w:rPr>
                <w:rFonts w:ascii="Times New Roman CYR" w:hAnsi="Times New Roman CYR" w:cs="Times New Roman CYR"/>
                <w:sz w:val="20"/>
                <w:szCs w:val="20"/>
              </w:rPr>
              <w:t>Год осн</w:t>
            </w:r>
            <w:r>
              <w:rPr>
                <w:rFonts w:ascii="Times New Roman CYR" w:hAnsi="Times New Roman CYR" w:cs="Times New Roman CYR"/>
                <w:sz w:val="20"/>
                <w:szCs w:val="20"/>
                <w:lang w:val="en-US"/>
              </w:rPr>
              <w:t>.</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Комис. УК</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Макс. надбавка</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Макс. скидка</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16.06.2015</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 фонд акций второго эшелона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20.02.2015</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w:t>
            </w:r>
            <w:r>
              <w:rPr>
                <w:rFonts w:ascii="Times New Roman CYR" w:hAnsi="Times New Roman CYR" w:cs="Times New Roman CYR"/>
                <w:sz w:val="20"/>
                <w:szCs w:val="20"/>
              </w:rPr>
              <w:t>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Паллада-фонд акций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0.472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 фонд смешанных инвестиций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06.10.2014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 Индекс ММВ</w:t>
            </w:r>
            <w:r>
              <w:rPr>
                <w:rFonts w:ascii="Times New Roman CYR" w:hAnsi="Times New Roman CYR" w:cs="Times New Roman CYR"/>
                <w:sz w:val="20"/>
                <w:szCs w:val="20"/>
              </w:rPr>
              <w:t>Б</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1.28</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Изумруд - Индекс ММВБ</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11.09.2014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Аметист</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1.28</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Сапфир</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O</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6</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20.02.2015</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 Природные ресурсы</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7</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Эссет 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Паллада - Энергетика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8</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10.11</w:t>
            </w:r>
            <w:r>
              <w:rPr>
                <w:rFonts w:ascii="Times New Roman CYR" w:hAnsi="Times New Roman CYR" w:cs="Times New Roman CYR"/>
                <w:sz w:val="20"/>
                <w:szCs w:val="20"/>
              </w:rPr>
              <w:lastRenderedPageBreak/>
              <w:t>.2014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 xml:space="preserve">Паллада Эссет </w:t>
            </w:r>
            <w:r>
              <w:rPr>
                <w:rFonts w:ascii="Times New Roman CYR" w:hAnsi="Times New Roman CYR" w:cs="Times New Roman CYR"/>
                <w:sz w:val="20"/>
                <w:szCs w:val="20"/>
              </w:rPr>
              <w:lastRenderedPageBreak/>
              <w:t>Менеджмент</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Паллада - Созидание</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Гранат</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C</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3.54</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9</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Брокеркредитсервис</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Валютные Инвестиции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Зарубежные Фонды</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02.10.2014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Брокеркредитсервис</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Глобальные Металлы</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Глобальные Рынки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Брокеркредитсервис</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Глобальная Нефть</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БКС - Глобальные Рынки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10.06.2014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Нефтегазовый сектор</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Природные ресурсы</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10.06.2014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Инфраструктура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Электроэнер</w:t>
            </w:r>
            <w:r>
              <w:rPr>
                <w:rFonts w:ascii="Times New Roman CYR" w:hAnsi="Times New Roman CYR" w:cs="Times New Roman CYR"/>
                <w:sz w:val="20"/>
                <w:szCs w:val="20"/>
              </w:rPr>
              <w:t>гетика</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10.06.2014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Агросектор</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Потребительский сектор</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10.06.2014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Фонд акций первого эшелона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w:t>
            </w:r>
            <w:r>
              <w:rPr>
                <w:rFonts w:ascii="Times New Roman CYR" w:hAnsi="Times New Roman CYR" w:cs="Times New Roman CYR"/>
                <w:sz w:val="20"/>
                <w:szCs w:val="20"/>
              </w:rPr>
              <w:t>рбанк - Фонд акций "Добрыня Никитич"</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2000</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16</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10.06.2014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Фонд Сбалансированный II</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Сбербанк - Фонд Сбалансированный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2001</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17</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29.05.2015</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Энергокапитал-Индекс ММВБ</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1.18</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 - мировые рынки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13.07.2015</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 - накопительный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Энергокапитал -сбалансированный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2000</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19</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07.08.2014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Волхонка - фонд облигаций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Казначейский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17.07.2014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Рождественка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Сбалансированный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21</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Манежная площадь - фонд акций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22</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Красная площадь - Акции компаний с государственным участием</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Предприятий с государственным участием</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23</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w:t>
            </w:r>
            <w:r>
              <w:rPr>
                <w:rFonts w:ascii="Times New Roman CYR" w:hAnsi="Times New Roman CYR" w:cs="Times New Roman CYR"/>
                <w:sz w:val="20"/>
                <w:szCs w:val="20"/>
              </w:rPr>
              <w:t>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Биржевая площадь - Индекс ММВБ</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Индекс ММВБ</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18.07.2014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Триумфальная площадь - фонд предприятий нефтегазового сектора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нефтегазового сектор</w:t>
            </w:r>
            <w:r>
              <w:rPr>
                <w:rFonts w:ascii="Times New Roman CYR" w:hAnsi="Times New Roman CYR" w:cs="Times New Roman CYR"/>
                <w:sz w:val="20"/>
                <w:szCs w:val="20"/>
              </w:rPr>
              <w:t>а</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Останкино - фонд телекоммуникаций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Телекоммуникаций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26</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07.08.2014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ВТБ Капитал Управление </w:t>
            </w:r>
            <w:r>
              <w:rPr>
                <w:rFonts w:ascii="Times New Roman CYR" w:hAnsi="Times New Roman CYR" w:cs="Times New Roman CYR"/>
                <w:sz w:val="20"/>
                <w:szCs w:val="20"/>
              </w:rPr>
              <w:lastRenderedPageBreak/>
              <w:t>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Замоскворечье - фонд энергетики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ВТБ - </w:t>
            </w:r>
            <w:r>
              <w:rPr>
                <w:rFonts w:ascii="Times New Roman CYR" w:hAnsi="Times New Roman CYR" w:cs="Times New Roman CYR"/>
                <w:sz w:val="20"/>
                <w:szCs w:val="20"/>
              </w:rPr>
              <w:t>Фонд Электроэнерге</w:t>
            </w:r>
            <w:r>
              <w:rPr>
                <w:rFonts w:ascii="Times New Roman CYR" w:hAnsi="Times New Roman CYR" w:cs="Times New Roman CYR"/>
                <w:sz w:val="20"/>
                <w:szCs w:val="20"/>
              </w:rPr>
              <w:lastRenderedPageBreak/>
              <w:t>тики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27</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24.07.2014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Звездный бульвар - звезды БРИК</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БРИК</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2000</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07.08.2014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Трубная площадь - фонд металлургии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Металлургии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29</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07.08.2014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Капитал Управление активами</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Охотный ряд - фонд предприятий потребительского сектора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ВТБ - Фонд Потребительского сектора</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30</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10.12.2014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 Акции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 Ликвидные акции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31</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03.10.2014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 Смешанные инвестиции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Альфа-Капитал Сбалансированный (Баланс)</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w:t>
            </w:r>
            <w:r>
              <w:rPr>
                <w:rFonts w:ascii="Times New Roman CYR" w:hAnsi="Times New Roman CYR" w:cs="Times New Roman CYR"/>
                <w:sz w:val="20"/>
                <w:szCs w:val="20"/>
              </w:rPr>
              <w:t>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сбалансированный динамичный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2008</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сбалансированный консервативный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33</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Российская нефть</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w:t>
            </w:r>
            <w:r>
              <w:rPr>
                <w:rFonts w:ascii="Times New Roman CYR" w:hAnsi="Times New Roman CYR" w:cs="Times New Roman CYR"/>
                <w:sz w:val="20"/>
                <w:szCs w:val="20"/>
              </w:rPr>
              <w:t xml:space="preserve"> БНП Париба - Фонд сбалансированный консерватив-ный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34</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Российская электроэнергетика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Российская металлургия и машиностроение</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36</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w:t>
            </w:r>
            <w:r>
              <w:rPr>
                <w:rFonts w:ascii="Times New Roman CYR" w:hAnsi="Times New Roman CYR" w:cs="Times New Roman CYR"/>
                <w:sz w:val="20"/>
                <w:szCs w:val="20"/>
              </w:rPr>
              <w:t xml:space="preserve"> - Фонд акций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37</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Перспективные инвестиции</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Телекоммуникации и инновации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38</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Индекс ММВБ</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39</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денежног</w:t>
            </w:r>
            <w:r>
              <w:rPr>
                <w:rFonts w:ascii="Times New Roman CYR" w:hAnsi="Times New Roman CYR" w:cs="Times New Roman CYR"/>
                <w:sz w:val="20"/>
                <w:szCs w:val="20"/>
              </w:rPr>
              <w:t>о рынка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0</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облигаций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40</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индекс РТС</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41</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w:t>
            </w:r>
            <w:r>
              <w:rPr>
                <w:rFonts w:ascii="Times New Roman CYR" w:hAnsi="Times New Roman CYR" w:cs="Times New Roman CYR"/>
                <w:sz w:val="20"/>
                <w:szCs w:val="20"/>
              </w:rPr>
              <w:t>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Российский потребительский сектор</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2007</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42</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Азия</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w:t>
            </w:r>
            <w:r>
              <w:rPr>
                <w:rFonts w:ascii="Times New Roman CYR" w:hAnsi="Times New Roman CYR" w:cs="Times New Roman CYR"/>
                <w:sz w:val="20"/>
                <w:szCs w:val="20"/>
              </w:rPr>
              <w:t>П Париба - Золото</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43</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Латинская Америка</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Золото</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Ф</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44</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w:t>
            </w:r>
            <w:r>
              <w:rPr>
                <w:rFonts w:ascii="Times New Roman CYR" w:hAnsi="Times New Roman CYR" w:cs="Times New Roman CYR"/>
                <w:sz w:val="20"/>
                <w:szCs w:val="20"/>
              </w:rPr>
              <w:t>ба - Фонд акций 2</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2008</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Премиум. Фонд акций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45</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25.11.2014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Инвестмент Партнерс. Россия</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смешанных инвестиций 2</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2008</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ТКБ БНП Париба - Фонд сбалансированный консервативн</w:t>
            </w:r>
            <w:r>
              <w:rPr>
                <w:rFonts w:ascii="Times New Roman CYR" w:hAnsi="Times New Roman CYR" w:cs="Times New Roman CYR"/>
                <w:sz w:val="20"/>
                <w:szCs w:val="20"/>
              </w:rPr>
              <w:t>ый</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С</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2003</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2.8</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46</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 - ТОП 10</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 - Индекс ММВБ - Электроэнергетика</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И</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2006</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47</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НОМОС - Фонд акций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2.9</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 - Акции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2004</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2.95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48</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w:t>
            </w:r>
            <w:r>
              <w:rPr>
                <w:rFonts w:ascii="Times New Roman CYR" w:hAnsi="Times New Roman CYR" w:cs="Times New Roman CYR"/>
                <w:sz w:val="20"/>
                <w:szCs w:val="20"/>
              </w:rPr>
              <w:t>крытие - Агрессивный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2012</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 - Иностранные акции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2008</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r>
      <w:tr w:rsidR="00000000">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49</w:t>
            </w:r>
          </w:p>
        </w:tc>
        <w:tc>
          <w:tcPr>
            <w:tcW w:w="69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14.10.2014</w:t>
            </w:r>
          </w:p>
        </w:tc>
        <w:tc>
          <w:tcPr>
            <w:tcW w:w="1574"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w:t>
            </w:r>
          </w:p>
        </w:tc>
        <w:tc>
          <w:tcPr>
            <w:tcW w:w="2488"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НОМОС - Фонд облигаций</w:t>
            </w:r>
          </w:p>
        </w:tc>
        <w:tc>
          <w:tcPr>
            <w:tcW w:w="66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677"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2011</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1.1</w:t>
            </w:r>
          </w:p>
        </w:tc>
        <w:tc>
          <w:tcPr>
            <w:tcW w:w="99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0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Открытие - Еврооблигации</w:t>
            </w:r>
          </w:p>
        </w:tc>
        <w:tc>
          <w:tcPr>
            <w:tcW w:w="56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w:t>
            </w:r>
          </w:p>
        </w:tc>
        <w:tc>
          <w:tcPr>
            <w:tcW w:w="702"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2012</w:t>
            </w:r>
          </w:p>
        </w:tc>
        <w:tc>
          <w:tcPr>
            <w:tcW w:w="720"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1.3</w:t>
            </w:r>
          </w:p>
        </w:tc>
        <w:tc>
          <w:tcPr>
            <w:tcW w:w="719" w:type="dxa"/>
            <w:tcBorders>
              <w:top w:val="single" w:sz="6" w:space="0" w:color="auto"/>
              <w:left w:val="single" w:sz="6" w:space="0" w:color="auto"/>
              <w:bottom w:val="single" w:sz="6" w:space="0" w:color="auto"/>
              <w:right w:val="single" w:sz="6" w:space="0" w:color="auto"/>
            </w:tcBorders>
          </w:tcPr>
          <w:p w:rsidR="00000000" w:rsidRDefault="00F04042">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1</w:t>
            </w:r>
          </w:p>
        </w:tc>
      </w:tr>
    </w:tbl>
    <w:p w:rsidR="00F04042" w:rsidRDefault="00F04042">
      <w:pPr>
        <w:widowControl w:val="0"/>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 акций, О - облигаций, И - индексный, Д - денежного рынка, С</w:t>
      </w:r>
      <w:r>
        <w:rPr>
          <w:rFonts w:ascii="Times New Roman CYR" w:hAnsi="Times New Roman CYR" w:cs="Times New Roman CYR"/>
          <w:sz w:val="28"/>
          <w:szCs w:val="28"/>
        </w:rPr>
        <w:t xml:space="preserve"> - смешанный, Ф - фондов.</w:t>
      </w:r>
    </w:p>
    <w:sectPr w:rsidR="00F04042">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4342E"/>
    <w:rsid w:val="0014342E"/>
    <w:rsid w:val="003549B8"/>
    <w:rsid w:val="00F040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theme" Target="theme/theme1.xml"/><Relationship Id="rId7" Type="http://schemas.openxmlformats.org/officeDocument/2006/relationships/image" Target="media/image4.wmf"/><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 Type="http://schemas.openxmlformats.org/officeDocument/2006/relationships/image" Target="media/image2.wmf"/><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4" Type="http://schemas.openxmlformats.org/officeDocument/2006/relationships/image" Target="media/image1.wmf"/><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66</Pages>
  <Words>15475</Words>
  <Characters>88214</Characters>
  <Application>Microsoft Office Word</Application>
  <DocSecurity>0</DocSecurity>
  <Lines>735</Lines>
  <Paragraphs>206</Paragraphs>
  <ScaleCrop>false</ScaleCrop>
  <Company>Grizli777</Company>
  <LinksUpToDate>false</LinksUpToDate>
  <CharactersWithSpaces>103483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2019-12-12T19:50:00Z</dcterms:created>
  <dcterms:modified xsi:type="dcterms:W3CDTF">2019-12-12T19:50:00Z</dcterms:modified>
</cp:coreProperties>
</file>